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F40F" w14:textId="1A9A5FF6" w:rsidR="002B12F4" w:rsidRDefault="002B12F4">
      <w:r>
        <w:rPr>
          <w:b/>
          <w:bCs/>
        </w:rPr>
        <w:t xml:space="preserve">Supplemental Figure 1. </w:t>
      </w:r>
      <w:r>
        <w:t>Number of respondents per week of the study period</w:t>
      </w:r>
      <w:r w:rsidR="00F07BD4">
        <w:t xml:space="preserve"> (</w:t>
      </w:r>
      <w:r w:rsidR="00F07BD4">
        <w:t>43 countries, 2020</w:t>
      </w:r>
      <w:r w:rsidR="00F07BD4">
        <w:t>)</w:t>
      </w:r>
      <w:r>
        <w:t>.</w:t>
      </w:r>
    </w:p>
    <w:p w14:paraId="320D8CE6" w14:textId="797DFEEF" w:rsidR="002B12F4" w:rsidRDefault="002B12F4">
      <w:r>
        <w:rPr>
          <w:noProof/>
        </w:rPr>
        <w:drawing>
          <wp:inline distT="0" distB="0" distL="0" distR="0" wp14:anchorId="71A9FE26" wp14:editId="40D05826">
            <wp:extent cx="5943600" cy="3714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A94DD" w14:textId="77777777" w:rsidR="002B12F4" w:rsidRPr="002B12F4" w:rsidRDefault="002B12F4"/>
    <w:p w14:paraId="54533451" w14:textId="72533032" w:rsidR="002B12F4" w:rsidRDefault="002B12F4">
      <w:pPr>
        <w:rPr>
          <w:rFonts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14:paraId="34047515" w14:textId="606996CD" w:rsidR="004A7F65" w:rsidRDefault="00F75101">
      <w:pPr>
        <w:pStyle w:val="Body"/>
      </w:pPr>
      <w:proofErr w:type="spellStart"/>
      <w:r>
        <w:rPr>
          <w:b/>
          <w:bCs/>
        </w:rPr>
        <w:lastRenderedPageBreak/>
        <w:t>Supplemental</w:t>
      </w:r>
      <w:proofErr w:type="spellEnd"/>
      <w:r>
        <w:rPr>
          <w:b/>
          <w:bCs/>
        </w:rPr>
        <w:t xml:space="preserve"> Figure </w:t>
      </w:r>
      <w:r w:rsidR="002B12F4">
        <w:rPr>
          <w:b/>
          <w:bCs/>
        </w:rPr>
        <w:t>2</w:t>
      </w:r>
      <w:r>
        <w:rPr>
          <w:b/>
          <w:bCs/>
        </w:rPr>
        <w:t xml:space="preserve">. </w:t>
      </w:r>
      <w:r>
        <w:rPr>
          <w:lang w:val="en-US"/>
        </w:rPr>
        <w:t>Kappa Correlations Between Non-Pharmaceutical Interventions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>
        <w:rPr>
          <w:lang w:val="en-US"/>
        </w:rPr>
        <w:t>.</w:t>
      </w:r>
    </w:p>
    <w:p w14:paraId="2A0C784D" w14:textId="77777777" w:rsidR="004A7F65" w:rsidRDefault="004A7F65">
      <w:pPr>
        <w:pStyle w:val="Body"/>
        <w:rPr>
          <w:b/>
          <w:bCs/>
        </w:rPr>
      </w:pPr>
    </w:p>
    <w:p w14:paraId="3B6FFB5D" w14:textId="77777777" w:rsidR="004A7F65" w:rsidRDefault="00F75101">
      <w:pPr>
        <w:pStyle w:val="Body"/>
      </w:pPr>
      <w:r>
        <w:rPr>
          <w:noProof/>
        </w:rPr>
        <w:drawing>
          <wp:inline distT="0" distB="0" distL="0" distR="0" wp14:anchorId="159BDD20" wp14:editId="177EDE22">
            <wp:extent cx="5943473" cy="4420460"/>
            <wp:effectExtent l="0" t="0" r="0" b="0"/>
            <wp:docPr id="1073741825" name="officeArt object" descr="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hartDescription automatically generated" descr="Chart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4420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11F5C2B" w14:textId="027FBBC4" w:rsidR="004B7739" w:rsidRDefault="00FA3179" w:rsidP="004B7739">
      <w:pPr>
        <w:pStyle w:val="Body"/>
      </w:pPr>
      <w:r>
        <w:br w:type="page"/>
      </w:r>
      <w:proofErr w:type="spellStart"/>
      <w:r w:rsidR="004B7739">
        <w:rPr>
          <w:b/>
          <w:bCs/>
        </w:rPr>
        <w:lastRenderedPageBreak/>
        <w:t>Supplemental</w:t>
      </w:r>
      <w:proofErr w:type="spellEnd"/>
      <w:r w:rsidR="004B7739">
        <w:rPr>
          <w:b/>
          <w:bCs/>
        </w:rPr>
        <w:t xml:space="preserve"> Figure </w:t>
      </w:r>
      <w:r w:rsidR="002B12F4">
        <w:rPr>
          <w:b/>
          <w:bCs/>
          <w:lang w:val="en-US"/>
        </w:rPr>
        <w:t>3</w:t>
      </w:r>
      <w:r w:rsidR="004B7739">
        <w:rPr>
          <w:b/>
          <w:bCs/>
        </w:rPr>
        <w:t xml:space="preserve">. </w:t>
      </w:r>
      <w:r w:rsidR="004B7739">
        <w:rPr>
          <w:lang w:val="en-US"/>
        </w:rPr>
        <w:t xml:space="preserve">Probability of </w:t>
      </w:r>
      <w:r w:rsidR="004B7739">
        <w:t>Anxiety and Depressive</w:t>
      </w:r>
      <w:r w:rsidR="004B7739">
        <w:rPr>
          <w:lang w:val="en-US"/>
        </w:rPr>
        <w:t xml:space="preserve"> Symptoms by Stringency Policy Score and Gender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 w:rsidR="004B7739">
        <w:rPr>
          <w:lang w:val="en-US"/>
        </w:rPr>
        <w:t>.</w:t>
      </w:r>
    </w:p>
    <w:p w14:paraId="4B1F8E8D" w14:textId="77777777" w:rsidR="004B7739" w:rsidRDefault="004B7739" w:rsidP="004B7739">
      <w:pPr>
        <w:pStyle w:val="Body"/>
      </w:pPr>
    </w:p>
    <w:p w14:paraId="14AC8227" w14:textId="77777777" w:rsidR="004B7739" w:rsidRDefault="004B7739" w:rsidP="004B7739">
      <w:pPr>
        <w:pStyle w:val="Body"/>
        <w:rPr>
          <w:b/>
          <w:bCs/>
        </w:rPr>
      </w:pPr>
      <w:r>
        <w:rPr>
          <w:noProof/>
        </w:rPr>
        <w:drawing>
          <wp:inline distT="0" distB="0" distL="0" distR="0" wp14:anchorId="4EBE3890" wp14:editId="728CC254">
            <wp:extent cx="5484495" cy="2897505"/>
            <wp:effectExtent l="0" t="0" r="1905" b="0"/>
            <wp:docPr id="1073741827" name="officeArt object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Chart, line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2897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88A366F" w14:textId="77777777" w:rsidR="00087BB1" w:rsidRDefault="00087BB1">
      <w:pPr>
        <w:rPr>
          <w:rFonts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14:paraId="0F435908" w14:textId="7DAE41D3" w:rsidR="00087BB1" w:rsidRDefault="00087BB1" w:rsidP="004B7739">
      <w:pPr>
        <w:pStyle w:val="Body"/>
        <w:rPr>
          <w:lang w:val="en-US"/>
        </w:rPr>
      </w:pPr>
      <w:proofErr w:type="spellStart"/>
      <w:r>
        <w:rPr>
          <w:b/>
          <w:bCs/>
        </w:rPr>
        <w:lastRenderedPageBreak/>
        <w:t>Supplemental</w:t>
      </w:r>
      <w:proofErr w:type="spellEnd"/>
      <w:r>
        <w:rPr>
          <w:b/>
          <w:bCs/>
        </w:rPr>
        <w:t xml:space="preserve"> Figure </w:t>
      </w:r>
      <w:r>
        <w:rPr>
          <w:b/>
          <w:bCs/>
          <w:lang w:val="en-US"/>
        </w:rPr>
        <w:t>4</w:t>
      </w:r>
      <w:r>
        <w:rPr>
          <w:b/>
          <w:bCs/>
        </w:rPr>
        <w:t xml:space="preserve">. </w:t>
      </w:r>
      <w:r>
        <w:rPr>
          <w:lang w:val="en-US"/>
        </w:rPr>
        <w:t xml:space="preserve">Probability of </w:t>
      </w:r>
      <w:proofErr w:type="spellStart"/>
      <w:r>
        <w:t>Anxiety</w:t>
      </w:r>
      <w:proofErr w:type="spellEnd"/>
      <w:r>
        <w:t xml:space="preserve"> and Depressive</w:t>
      </w:r>
      <w:r>
        <w:rPr>
          <w:lang w:val="en-US"/>
        </w:rPr>
        <w:t xml:space="preserve"> Symptoms by Stringency Policy Score and Age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>
        <w:rPr>
          <w:lang w:val="en-US"/>
        </w:rPr>
        <w:t>.</w:t>
      </w:r>
    </w:p>
    <w:p w14:paraId="7AFC69AE" w14:textId="77777777" w:rsidR="00087BB1" w:rsidRDefault="00087BB1" w:rsidP="004B7739">
      <w:pPr>
        <w:pStyle w:val="Body"/>
        <w:rPr>
          <w:lang w:val="en-US"/>
        </w:rPr>
      </w:pPr>
    </w:p>
    <w:p w14:paraId="1DEFCD19" w14:textId="6859A1A6" w:rsidR="00087BB1" w:rsidRDefault="00087BB1" w:rsidP="004B7739">
      <w:pPr>
        <w:pStyle w:val="Body"/>
        <w:rPr>
          <w:lang w:val="en-US"/>
        </w:rPr>
      </w:pPr>
      <w:r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C1F63CD" wp14:editId="4FD4BE2D">
            <wp:extent cx="2700000" cy="34941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349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19B4A8D" wp14:editId="6DB6DB70">
            <wp:extent cx="2700000" cy="34941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349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459E3" w14:textId="6D574A49" w:rsidR="004B7739" w:rsidRDefault="004B7739" w:rsidP="004B7739">
      <w:pPr>
        <w:pStyle w:val="Body"/>
        <w:rPr>
          <w:lang w:val="en-US"/>
        </w:rPr>
      </w:pPr>
      <w:r>
        <w:rPr>
          <w:b/>
          <w:bCs/>
        </w:rPr>
        <w:br w:type="page"/>
      </w:r>
      <w:proofErr w:type="spellStart"/>
      <w:r>
        <w:rPr>
          <w:b/>
          <w:bCs/>
        </w:rPr>
        <w:lastRenderedPageBreak/>
        <w:t>Supplemental</w:t>
      </w:r>
      <w:proofErr w:type="spellEnd"/>
      <w:r>
        <w:rPr>
          <w:b/>
          <w:bCs/>
        </w:rPr>
        <w:t xml:space="preserve"> Figure </w:t>
      </w:r>
      <w:r w:rsidR="00087BB1">
        <w:rPr>
          <w:b/>
          <w:bCs/>
          <w:lang w:val="en-US"/>
        </w:rPr>
        <w:t>5</w:t>
      </w:r>
      <w:r>
        <w:rPr>
          <w:b/>
          <w:bCs/>
        </w:rPr>
        <w:t xml:space="preserve">. </w:t>
      </w:r>
      <w:r>
        <w:rPr>
          <w:lang w:val="en-US"/>
        </w:rPr>
        <w:t xml:space="preserve">Probability of </w:t>
      </w:r>
      <w:proofErr w:type="spellStart"/>
      <w:r>
        <w:t>Anxiety</w:t>
      </w:r>
      <w:proofErr w:type="spellEnd"/>
      <w:r>
        <w:rPr>
          <w:lang w:val="en-US"/>
        </w:rPr>
        <w:t xml:space="preserve"> Symptoms by Stringency Policy</w:t>
      </w:r>
      <w:r>
        <w:t xml:space="preserve"> </w:t>
      </w:r>
      <w:r>
        <w:rPr>
          <w:lang w:val="en-US"/>
        </w:rPr>
        <w:t>Component and Gender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>
        <w:rPr>
          <w:lang w:val="en-US"/>
        </w:rPr>
        <w:t>.</w:t>
      </w:r>
    </w:p>
    <w:p w14:paraId="20092F2F" w14:textId="0EA44018" w:rsidR="004B7739" w:rsidRDefault="003726A2" w:rsidP="004B7739">
      <w:pPr>
        <w:pStyle w:val="Body"/>
        <w:rPr>
          <w:lang w:val="en-US"/>
        </w:rPr>
      </w:pPr>
      <w:r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E3B9749" wp14:editId="24F15C72">
            <wp:extent cx="5040000" cy="252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F020" w14:textId="5C8C2572" w:rsidR="004B7739" w:rsidRDefault="003726A2" w:rsidP="004B7739">
      <w:pPr>
        <w:pStyle w:val="Body"/>
        <w:rPr>
          <w:lang w:val="en-US"/>
        </w:rPr>
      </w:pPr>
      <w:r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7856FFE" wp14:editId="18D08154">
            <wp:extent cx="5040000" cy="252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FAB21" w14:textId="1796AF89" w:rsidR="004B7739" w:rsidRDefault="003726A2" w:rsidP="004B7739">
      <w:r>
        <w:rPr>
          <w:noProof/>
        </w:rPr>
        <w:drawing>
          <wp:inline distT="0" distB="0" distL="0" distR="0" wp14:anchorId="0AD8DF08" wp14:editId="77F598BC">
            <wp:extent cx="5040000" cy="252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4F0F8" w14:textId="26D5B460" w:rsidR="004B7739" w:rsidRDefault="003726A2" w:rsidP="004B7739">
      <w:r>
        <w:rPr>
          <w:noProof/>
        </w:rPr>
        <w:lastRenderedPageBreak/>
        <w:drawing>
          <wp:inline distT="0" distB="0" distL="0" distR="0" wp14:anchorId="6F757EFE" wp14:editId="4EE2600F">
            <wp:extent cx="5040000" cy="25200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D4E15" w14:textId="5EE88686" w:rsidR="004B7739" w:rsidRDefault="003726A2" w:rsidP="004B7739">
      <w:r>
        <w:rPr>
          <w:noProof/>
        </w:rPr>
        <w:drawing>
          <wp:inline distT="0" distB="0" distL="0" distR="0" wp14:anchorId="197DA49D" wp14:editId="0C5F5360">
            <wp:extent cx="5040000" cy="252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95C5C" w14:textId="6821C207" w:rsidR="004B7739" w:rsidRDefault="003726A2" w:rsidP="004B7739">
      <w:r>
        <w:rPr>
          <w:noProof/>
        </w:rPr>
        <w:drawing>
          <wp:inline distT="0" distB="0" distL="0" distR="0" wp14:anchorId="721D71EA" wp14:editId="342A8904">
            <wp:extent cx="5040000" cy="252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CE37D" w14:textId="186B06BE" w:rsidR="004B7739" w:rsidRPr="003726A2" w:rsidRDefault="003726A2" w:rsidP="004B7739">
      <w:r>
        <w:rPr>
          <w:noProof/>
        </w:rPr>
        <w:lastRenderedPageBreak/>
        <w:drawing>
          <wp:inline distT="0" distB="0" distL="0" distR="0" wp14:anchorId="5E2F0629" wp14:editId="3086AD03">
            <wp:extent cx="5040000" cy="252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739">
        <w:br w:type="page"/>
      </w:r>
    </w:p>
    <w:p w14:paraId="250013D2" w14:textId="7ED45556" w:rsidR="004B7739" w:rsidRDefault="004B7739" w:rsidP="004B7739">
      <w:pPr>
        <w:pStyle w:val="Body"/>
      </w:pPr>
      <w:proofErr w:type="spellStart"/>
      <w:r>
        <w:rPr>
          <w:b/>
          <w:bCs/>
        </w:rPr>
        <w:lastRenderedPageBreak/>
        <w:t>Supplemental</w:t>
      </w:r>
      <w:proofErr w:type="spellEnd"/>
      <w:r>
        <w:rPr>
          <w:b/>
          <w:bCs/>
        </w:rPr>
        <w:t xml:space="preserve"> Figure </w:t>
      </w:r>
      <w:r w:rsidR="00087BB1">
        <w:rPr>
          <w:b/>
          <w:bCs/>
          <w:lang w:val="en-US"/>
        </w:rPr>
        <w:t>6</w:t>
      </w:r>
      <w:r>
        <w:rPr>
          <w:b/>
          <w:bCs/>
        </w:rPr>
        <w:t xml:space="preserve">. </w:t>
      </w:r>
      <w:r>
        <w:rPr>
          <w:lang w:val="en-US"/>
        </w:rPr>
        <w:t xml:space="preserve">Probability of </w:t>
      </w:r>
      <w:r>
        <w:t>Depressive</w:t>
      </w:r>
      <w:r>
        <w:rPr>
          <w:lang w:val="en-US"/>
        </w:rPr>
        <w:t xml:space="preserve"> Symptoms by Stringency Policy</w:t>
      </w:r>
      <w:r>
        <w:t xml:space="preserve"> </w:t>
      </w:r>
      <w:r>
        <w:rPr>
          <w:lang w:val="en-US"/>
        </w:rPr>
        <w:t>Component and Gender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>
        <w:rPr>
          <w:lang w:val="en-US"/>
        </w:rPr>
        <w:t>.</w:t>
      </w:r>
    </w:p>
    <w:p w14:paraId="0F0517DD" w14:textId="6A9E0C9F" w:rsidR="004B7739" w:rsidRDefault="0023370C" w:rsidP="004B773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C572C24" wp14:editId="75D71C5F">
            <wp:extent cx="5040000" cy="252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3214" w14:textId="75CF6C71" w:rsidR="004B7739" w:rsidRDefault="0023370C" w:rsidP="004B7739">
      <w:pPr>
        <w:pStyle w:val="Body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1801F7E" wp14:editId="6D5C6BF1">
            <wp:extent cx="5040000" cy="252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1D53" w14:textId="5E80629B" w:rsidR="004B7739" w:rsidRDefault="0023370C" w:rsidP="004B7739">
      <w:pPr>
        <w:pStyle w:val="Body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E53BF27" wp14:editId="2EC72827">
            <wp:extent cx="5040000" cy="252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0738" w14:textId="6CCC240A" w:rsidR="004B7739" w:rsidRDefault="0023370C" w:rsidP="004B7739">
      <w:pPr>
        <w:pStyle w:val="Body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6E8F7496" wp14:editId="315EECA9">
            <wp:extent cx="5040000" cy="252000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EB1CE" w14:textId="1C4DBCD2" w:rsidR="004B7739" w:rsidRDefault="0023370C" w:rsidP="004B7739">
      <w:pPr>
        <w:pStyle w:val="Body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D5188B2" wp14:editId="094E451A">
            <wp:extent cx="5040000" cy="2520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0A19" w14:textId="6981405A" w:rsidR="004B7739" w:rsidRDefault="0023370C" w:rsidP="004B7739">
      <w:pPr>
        <w:pStyle w:val="Body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E8EAD3D" wp14:editId="4CB66804">
            <wp:extent cx="5040000" cy="2520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27E3" w14:textId="29111E7D" w:rsidR="004B7739" w:rsidRDefault="0023370C" w:rsidP="004B773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10CB7A6E" wp14:editId="2C007B60">
            <wp:extent cx="5040000" cy="2520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FBF1" w14:textId="77777777" w:rsidR="004B7739" w:rsidRDefault="004B7739" w:rsidP="004B7739">
      <w:pPr>
        <w:pStyle w:val="Body"/>
      </w:pPr>
      <w:r>
        <w:rPr>
          <w:rFonts w:ascii="Arial Unicode MS" w:hAnsi="Arial Unicode MS"/>
        </w:rPr>
        <w:br w:type="page"/>
      </w:r>
    </w:p>
    <w:p w14:paraId="244562FC" w14:textId="09FB208B" w:rsidR="002200AC" w:rsidRDefault="0002719C">
      <w:r>
        <w:rPr>
          <w:b/>
          <w:bCs/>
        </w:rPr>
        <w:lastRenderedPageBreak/>
        <w:t xml:space="preserve">Supplemental Figure 7. </w:t>
      </w:r>
      <w:r>
        <w:t>Probability of Anxiety Symptoms by Stringency Policy Component and Age</w:t>
      </w:r>
      <w:r w:rsidR="00F07BD4">
        <w:t xml:space="preserve"> </w:t>
      </w:r>
      <w:r w:rsidR="00F07BD4">
        <w:t>(43 countries, 2020)</w:t>
      </w:r>
      <w:r>
        <w:t>.</w:t>
      </w:r>
    </w:p>
    <w:p w14:paraId="4E144B81" w14:textId="7F562AF3" w:rsidR="002200AC" w:rsidRDefault="002C4026">
      <w:r>
        <w:rPr>
          <w:noProof/>
        </w:rPr>
        <w:drawing>
          <wp:inline distT="0" distB="0" distL="0" distR="0" wp14:anchorId="4F6EA1EE" wp14:editId="6428FB5D">
            <wp:extent cx="5040000" cy="2520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A357" w14:textId="45EF5A5F" w:rsidR="002C4026" w:rsidRDefault="002C4026">
      <w:r>
        <w:rPr>
          <w:noProof/>
        </w:rPr>
        <w:drawing>
          <wp:inline distT="0" distB="0" distL="0" distR="0" wp14:anchorId="5D96A008" wp14:editId="379842D8">
            <wp:extent cx="5040000" cy="252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ACCB3" w14:textId="7453E88E" w:rsidR="002C4026" w:rsidRDefault="002C4026">
      <w:r>
        <w:rPr>
          <w:noProof/>
        </w:rPr>
        <w:drawing>
          <wp:inline distT="0" distB="0" distL="0" distR="0" wp14:anchorId="2694C54D" wp14:editId="6264774B">
            <wp:extent cx="5040000" cy="252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D7E67" w14:textId="685A4339" w:rsidR="002C4026" w:rsidRDefault="002C4026">
      <w:r>
        <w:rPr>
          <w:noProof/>
        </w:rPr>
        <w:lastRenderedPageBreak/>
        <w:drawing>
          <wp:inline distT="0" distB="0" distL="0" distR="0" wp14:anchorId="23FE0E4B" wp14:editId="67857E79">
            <wp:extent cx="5040000" cy="2520000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1BD58" w14:textId="45ADFB57" w:rsidR="002C4026" w:rsidRDefault="002C4026">
      <w:r>
        <w:rPr>
          <w:noProof/>
        </w:rPr>
        <w:drawing>
          <wp:inline distT="0" distB="0" distL="0" distR="0" wp14:anchorId="6191629E" wp14:editId="700098BA">
            <wp:extent cx="5040000" cy="2520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02268" w14:textId="55A2B34D" w:rsidR="002C4026" w:rsidRDefault="002C4026">
      <w:r>
        <w:rPr>
          <w:noProof/>
        </w:rPr>
        <w:drawing>
          <wp:inline distT="0" distB="0" distL="0" distR="0" wp14:anchorId="5323C10E" wp14:editId="3D31B76D">
            <wp:extent cx="5040000" cy="252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582CA" w14:textId="09511F62" w:rsidR="002C4026" w:rsidRDefault="002C4026">
      <w:r>
        <w:rPr>
          <w:noProof/>
        </w:rPr>
        <w:lastRenderedPageBreak/>
        <w:drawing>
          <wp:inline distT="0" distB="0" distL="0" distR="0" wp14:anchorId="082DB332" wp14:editId="7023F382">
            <wp:extent cx="5040000" cy="2520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C1D26" w14:textId="7B472B45" w:rsidR="002C4026" w:rsidRPr="002C4026" w:rsidRDefault="0002719C">
      <w:pPr>
        <w:rPr>
          <w:b/>
          <w:bCs/>
        </w:rPr>
      </w:pPr>
      <w:r>
        <w:rPr>
          <w:b/>
          <w:bCs/>
        </w:rPr>
        <w:br w:type="page"/>
      </w:r>
    </w:p>
    <w:p w14:paraId="7A98A875" w14:textId="0CE8B0A0" w:rsidR="002200AC" w:rsidRDefault="0002719C">
      <w:r>
        <w:rPr>
          <w:b/>
          <w:bCs/>
        </w:rPr>
        <w:lastRenderedPageBreak/>
        <w:t xml:space="preserve">Supplemental Figure 8. </w:t>
      </w:r>
      <w:r>
        <w:t>Probability of Depressive Symptoms by Stringency Policy Component and Age</w:t>
      </w:r>
      <w:r w:rsidR="00F07BD4">
        <w:t xml:space="preserve"> </w:t>
      </w:r>
      <w:r w:rsidR="00F07BD4">
        <w:t>(43 countries, 2020)</w:t>
      </w:r>
      <w:r>
        <w:t>.</w:t>
      </w:r>
    </w:p>
    <w:p w14:paraId="4942594C" w14:textId="45A8ED9E" w:rsidR="002200AC" w:rsidRDefault="002C4026">
      <w:r>
        <w:rPr>
          <w:noProof/>
        </w:rPr>
        <w:drawing>
          <wp:inline distT="0" distB="0" distL="0" distR="0" wp14:anchorId="6338DFA5" wp14:editId="2EA3531D">
            <wp:extent cx="5040000" cy="2520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A4E1" w14:textId="3C4EE166" w:rsidR="002C4026" w:rsidRDefault="002C4026">
      <w:r>
        <w:rPr>
          <w:noProof/>
        </w:rPr>
        <w:drawing>
          <wp:inline distT="0" distB="0" distL="0" distR="0" wp14:anchorId="71C74DC0" wp14:editId="5EFE22AE">
            <wp:extent cx="5040000" cy="2520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9E3B7" w14:textId="54BD016F" w:rsidR="002C4026" w:rsidRDefault="002C4026">
      <w:r>
        <w:rPr>
          <w:noProof/>
        </w:rPr>
        <w:drawing>
          <wp:inline distT="0" distB="0" distL="0" distR="0" wp14:anchorId="22689323" wp14:editId="5C77752F">
            <wp:extent cx="5040000" cy="2520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E0F4" w14:textId="73D47623" w:rsidR="002C4026" w:rsidRDefault="002C4026">
      <w:r>
        <w:rPr>
          <w:noProof/>
        </w:rPr>
        <w:lastRenderedPageBreak/>
        <w:drawing>
          <wp:inline distT="0" distB="0" distL="0" distR="0" wp14:anchorId="5CBE82FE" wp14:editId="5F32FFB1">
            <wp:extent cx="5040000" cy="2520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5172F" w14:textId="6D8CA28A" w:rsidR="002C4026" w:rsidRDefault="002C4026">
      <w:r>
        <w:rPr>
          <w:noProof/>
        </w:rPr>
        <w:drawing>
          <wp:inline distT="0" distB="0" distL="0" distR="0" wp14:anchorId="0F1407C1" wp14:editId="52AFCB84">
            <wp:extent cx="5040000" cy="2520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48783" w14:textId="064F3CFD" w:rsidR="002C4026" w:rsidRDefault="002C4026">
      <w:r>
        <w:rPr>
          <w:noProof/>
        </w:rPr>
        <w:drawing>
          <wp:inline distT="0" distB="0" distL="0" distR="0" wp14:anchorId="571532BC" wp14:editId="0758C168">
            <wp:extent cx="5040000" cy="25200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366FD" w14:textId="0CA7C211" w:rsidR="002C4026" w:rsidRDefault="002C4026">
      <w:r>
        <w:rPr>
          <w:noProof/>
        </w:rPr>
        <w:lastRenderedPageBreak/>
        <w:drawing>
          <wp:inline distT="0" distB="0" distL="0" distR="0" wp14:anchorId="1ACCBA07" wp14:editId="4720A1EC">
            <wp:extent cx="5040000" cy="25200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D7CBF" w14:textId="7B17A25F" w:rsidR="002C4026" w:rsidRPr="002C4026" w:rsidRDefault="0002719C">
      <w:pPr>
        <w:rPr>
          <w:b/>
          <w:bCs/>
        </w:rPr>
      </w:pPr>
      <w:r>
        <w:rPr>
          <w:b/>
          <w:bCs/>
        </w:rPr>
        <w:br w:type="page"/>
      </w:r>
    </w:p>
    <w:p w14:paraId="7318E4E0" w14:textId="25232CFC" w:rsidR="004B7739" w:rsidRDefault="004B7739" w:rsidP="004B7739">
      <w:pPr>
        <w:pStyle w:val="Body"/>
        <w:rPr>
          <w:lang w:val="en-US"/>
        </w:rPr>
      </w:pPr>
      <w:proofErr w:type="spellStart"/>
      <w:r>
        <w:rPr>
          <w:b/>
          <w:bCs/>
        </w:rPr>
        <w:lastRenderedPageBreak/>
        <w:t>Supplemental</w:t>
      </w:r>
      <w:proofErr w:type="spellEnd"/>
      <w:r>
        <w:rPr>
          <w:b/>
          <w:bCs/>
        </w:rPr>
        <w:t xml:space="preserve"> Figure </w:t>
      </w:r>
      <w:r w:rsidR="0002719C">
        <w:rPr>
          <w:b/>
          <w:bCs/>
        </w:rPr>
        <w:t>9</w:t>
      </w:r>
      <w:r>
        <w:rPr>
          <w:b/>
          <w:bCs/>
        </w:rPr>
        <w:t xml:space="preserve">. </w:t>
      </w:r>
      <w:r>
        <w:rPr>
          <w:lang w:val="en-US"/>
        </w:rPr>
        <w:t>Odds Ratios and 95% Confidence Intervals for Univariable (Single Policy Models) and Multivariable (All Policies Simultaneously) Associations of Non-Pharmaceutical Interventions with Anxiety Symptoms, Stratified by Gender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>
        <w:rPr>
          <w:lang w:val="en-US"/>
        </w:rPr>
        <w:t>.</w:t>
      </w:r>
    </w:p>
    <w:p w14:paraId="1D116A3A" w14:textId="77777777" w:rsidR="004B7739" w:rsidRDefault="004B7739" w:rsidP="004B7739">
      <w:pPr>
        <w:pStyle w:val="Body"/>
      </w:pPr>
    </w:p>
    <w:p w14:paraId="4024E87F" w14:textId="43B045DD" w:rsidR="004B7739" w:rsidRDefault="00566EAD" w:rsidP="004B7739">
      <w:pPr>
        <w:pStyle w:val="Body"/>
        <w:rPr>
          <w:noProof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C751363" wp14:editId="7AE2B5CF">
            <wp:extent cx="5943600" cy="41037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7"/>
                    <a:stretch/>
                  </pic:blipFill>
                  <pic:spPr bwMode="auto">
                    <a:xfrm>
                      <a:off x="0" y="0"/>
                      <a:ext cx="5943600" cy="4103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8172B" w14:textId="77777777" w:rsidR="004B7739" w:rsidRDefault="004B7739" w:rsidP="004B7739">
      <w:pPr>
        <w:rPr>
          <w:rFonts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14:paraId="796C5771" w14:textId="70E3DF4B" w:rsidR="004A7F65" w:rsidRDefault="00F75101">
      <w:pPr>
        <w:pStyle w:val="Body"/>
      </w:pPr>
      <w:r>
        <w:rPr>
          <w:b/>
          <w:bCs/>
          <w:lang w:val="en-US"/>
        </w:rPr>
        <w:lastRenderedPageBreak/>
        <w:t>Supplemental Table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1</w:t>
      </w:r>
      <w:r>
        <w:rPr>
          <w:b/>
          <w:bCs/>
        </w:rPr>
        <w:t xml:space="preserve">. </w:t>
      </w:r>
      <w:r>
        <w:rPr>
          <w:lang w:val="en-US"/>
        </w:rPr>
        <w:t>Odds Ratios and 95% Confidence Intervals for Associations of Non-Pharmaceutical Interventions with Anxiety and Depressive Symptoms, Stratified by Gender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>
        <w:rPr>
          <w:lang w:val="en-US"/>
        </w:rPr>
        <w:t>.</w:t>
      </w:r>
    </w:p>
    <w:p w14:paraId="4C638E39" w14:textId="77777777" w:rsidR="004A7F65" w:rsidRDefault="004A7F65">
      <w:pPr>
        <w:pStyle w:val="Body"/>
      </w:pPr>
    </w:p>
    <w:tbl>
      <w:tblPr>
        <w:tblW w:w="81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1800"/>
        <w:gridCol w:w="1040"/>
        <w:gridCol w:w="820"/>
        <w:gridCol w:w="1120"/>
        <w:gridCol w:w="1120"/>
        <w:gridCol w:w="1060"/>
        <w:gridCol w:w="1180"/>
      </w:tblGrid>
      <w:tr w:rsidR="004A7F65" w14:paraId="1CF120C8" w14:textId="77777777">
        <w:trPr>
          <w:trHeight w:val="309"/>
          <w:jc w:val="right"/>
        </w:trPr>
        <w:tc>
          <w:tcPr>
            <w:tcW w:w="28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40A6F" w14:textId="77777777" w:rsidR="004A7F65" w:rsidRDefault="00F75101">
            <w:pPr>
              <w:suppressAutoHyphens/>
              <w:spacing w:line="3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25"/>
                <w:szCs w:val="25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Anxiety Symptoms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D21031E" w14:textId="77777777" w:rsidR="004A7F65" w:rsidRDefault="004A7F65"/>
        </w:tc>
        <w:tc>
          <w:tcPr>
            <w:tcW w:w="2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681519E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3"/>
                <w:szCs w:val="2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A24EB52" w14:textId="77777777" w:rsidR="004A7F65" w:rsidRDefault="004A7F65"/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5648939" w14:textId="77777777" w:rsidR="004A7F65" w:rsidRDefault="004A7F65"/>
        </w:tc>
      </w:tr>
      <w:tr w:rsidR="004A7F65" w14:paraId="669EB65D" w14:textId="77777777">
        <w:trPr>
          <w:trHeight w:val="275"/>
          <w:jc w:val="right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360A9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202296" w14:textId="77777777" w:rsidR="004A7F65" w:rsidRDefault="004A7F65"/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BDBC39D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8EC1FE5" w14:textId="77777777" w:rsidR="004A7F65" w:rsidRDefault="00F75101">
            <w:pPr>
              <w:suppressAutoHyphens/>
              <w:spacing w:line="320" w:lineRule="atLeast"/>
              <w:jc w:val="right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2.50%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590876E" w14:textId="77777777" w:rsidR="004A7F65" w:rsidRDefault="00F75101">
            <w:pPr>
              <w:suppressAutoHyphens/>
              <w:spacing w:line="320" w:lineRule="atLeast"/>
              <w:jc w:val="right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97.50%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4A86EBD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t-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</w:t>
            </w:r>
            <w:proofErr w:type="spellEnd"/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CAD122B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</w:p>
        </w:tc>
      </w:tr>
      <w:tr w:rsidR="004A7F65" w14:paraId="14E56AB9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6F735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School closures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069BE5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525252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9792E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0.973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EBABB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0.926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2778B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1.022</w:t>
            </w:r>
          </w:p>
        </w:tc>
        <w:tc>
          <w:tcPr>
            <w:tcW w:w="106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4F4AF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-1.598</w:t>
            </w:r>
          </w:p>
        </w:tc>
        <w:tc>
          <w:tcPr>
            <w:tcW w:w="118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FBC5F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0.771</w:t>
            </w:r>
          </w:p>
        </w:tc>
      </w:tr>
      <w:tr w:rsidR="004A7F65" w14:paraId="148A7361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403BE937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6EAAB0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96F54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4BBE3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CD2AA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1.107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E95CD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3.374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9BBC0E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0.010</w:t>
            </w:r>
          </w:p>
        </w:tc>
      </w:tr>
      <w:tr w:rsidR="004A7F65" w14:paraId="7A8D56E0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90152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Workplace closures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34594B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52560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BC3FB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0.952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E40C4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1.056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B86C6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0.133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24102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1.000</w:t>
            </w:r>
          </w:p>
        </w:tc>
      </w:tr>
      <w:tr w:rsidR="004A7F65" w14:paraId="58D32F77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1B4AC8FC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0D3DE5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0C459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1.012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D5C18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0.963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6E9A4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1.063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20A89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0.685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F1C30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1.000</w:t>
            </w:r>
          </w:p>
        </w:tc>
      </w:tr>
      <w:tr w:rsidR="004A7F65" w14:paraId="68C569F8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D0DF38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Cancellation of public events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102BE7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711E7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0.956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AAF4D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0.895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7F3FF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1.022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C48246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-1.958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C6981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0.485</w:t>
            </w:r>
          </w:p>
        </w:tc>
      </w:tr>
      <w:tr w:rsidR="004A7F65" w14:paraId="7D2BCDF0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787F3119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8B7C66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3039AE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1.095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121C63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BF001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1.165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72EB0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4.223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AEB392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05DFD089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87197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size of gatherings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7A7C01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F41D82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1.048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1CFAB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CA1272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1.107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32777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2.466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1D876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0.167</w:t>
            </w:r>
          </w:p>
        </w:tc>
      </w:tr>
      <w:tr w:rsidR="004A7F65" w14:paraId="34B0F3EC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764FDD00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DE42E8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B9AC8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1.096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1B8BD6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D0425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1.164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E0D4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4.430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9F349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0E7ACDCD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A7CA1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Stay-at-home requirements</w:t>
            </w:r>
          </w:p>
        </w:tc>
        <w:tc>
          <w:tcPr>
            <w:tcW w:w="1040" w:type="dxa"/>
            <w:tcBorders>
              <w:top w:val="single" w:sz="8" w:space="0" w:color="525252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DBE26F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8AB422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2D6745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1.054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DFCA0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1.132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57955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7.143</w:t>
            </w:r>
          </w:p>
        </w:tc>
        <w:tc>
          <w:tcPr>
            <w:tcW w:w="11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09EA9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086B4EB2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nil"/>
            </w:tcBorders>
            <w:shd w:val="clear" w:color="auto" w:fill="auto"/>
          </w:tcPr>
          <w:p w14:paraId="1835E480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nil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8BD0B9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D33B5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0.925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97AB2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0.898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8CF1D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0.953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27CC9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-7.559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E132E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0322AEEB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6B6AB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internal movement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8A73D8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8B085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0.905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CD1BB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0.868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AD61B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0.944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8BB89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-6.871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369C9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16084A79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649D2138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1055DB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BAB4B6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1.011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1B3713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0B8002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1.050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3AA09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0.784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2EE4B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0.999</w:t>
            </w:r>
          </w:p>
        </w:tc>
      </w:tr>
      <w:tr w:rsidR="004A7F65" w14:paraId="0DD96ED2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DB436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travel controls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97548F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93BCB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1.069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BC100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1.026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C08C7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1.113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D90DC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4.729</w:t>
            </w:r>
          </w:p>
        </w:tc>
        <w:tc>
          <w:tcPr>
            <w:tcW w:w="11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F2DB7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43BC06F1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697D2FED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A47570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39F11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0.944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E33AC2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0.911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51D37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0.979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2A051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-4.572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116E2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</w:tbl>
    <w:p w14:paraId="1F6322B2" w14:textId="77777777" w:rsidR="004A7F65" w:rsidRDefault="004A7F65">
      <w:pPr>
        <w:pStyle w:val="Default"/>
        <w:spacing w:before="0" w:line="240" w:lineRule="atLeast"/>
        <w:jc w:val="right"/>
        <w:rPr>
          <w:sz w:val="21"/>
          <w:szCs w:val="21"/>
        </w:rPr>
      </w:pPr>
    </w:p>
    <w:p w14:paraId="3936C3A8" w14:textId="77777777" w:rsidR="004A7F65" w:rsidRDefault="004A7F65">
      <w:pPr>
        <w:pStyle w:val="Default"/>
        <w:spacing w:before="0" w:line="240" w:lineRule="atLeast"/>
        <w:jc w:val="right"/>
        <w:rPr>
          <w:sz w:val="21"/>
          <w:szCs w:val="21"/>
        </w:rPr>
      </w:pPr>
    </w:p>
    <w:tbl>
      <w:tblPr>
        <w:tblW w:w="81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1800"/>
        <w:gridCol w:w="1040"/>
        <w:gridCol w:w="820"/>
        <w:gridCol w:w="1120"/>
        <w:gridCol w:w="1120"/>
        <w:gridCol w:w="1060"/>
        <w:gridCol w:w="1180"/>
      </w:tblGrid>
      <w:tr w:rsidR="004A7F65" w14:paraId="1BB11324" w14:textId="77777777">
        <w:trPr>
          <w:trHeight w:val="309"/>
          <w:jc w:val="right"/>
        </w:trPr>
        <w:tc>
          <w:tcPr>
            <w:tcW w:w="28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CD854" w14:textId="77777777" w:rsidR="004A7F65" w:rsidRDefault="00F75101">
            <w:pPr>
              <w:suppressAutoHyphens/>
              <w:spacing w:line="3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25"/>
                <w:szCs w:val="25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Depression Symptoms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303CF40" w14:textId="77777777" w:rsidR="004A7F65" w:rsidRDefault="004A7F65"/>
        </w:tc>
        <w:tc>
          <w:tcPr>
            <w:tcW w:w="2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432C80D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3"/>
                <w:szCs w:val="2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B319A06" w14:textId="77777777" w:rsidR="004A7F65" w:rsidRDefault="004A7F65"/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8EEC966" w14:textId="77777777" w:rsidR="004A7F65" w:rsidRDefault="004A7F65"/>
        </w:tc>
      </w:tr>
      <w:tr w:rsidR="004A7F65" w14:paraId="0F366D73" w14:textId="77777777">
        <w:trPr>
          <w:trHeight w:val="265"/>
          <w:jc w:val="right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11AF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0B5CF6" w14:textId="77777777" w:rsidR="004A7F65" w:rsidRDefault="004A7F65"/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3FA22E8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E19FA72" w14:textId="77777777" w:rsidR="004A7F65" w:rsidRDefault="00F75101">
            <w:pPr>
              <w:suppressAutoHyphens/>
              <w:spacing w:line="320" w:lineRule="atLeast"/>
              <w:jc w:val="right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2.50%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5A9AAEE" w14:textId="77777777" w:rsidR="004A7F65" w:rsidRDefault="00F75101">
            <w:pPr>
              <w:suppressAutoHyphens/>
              <w:spacing w:line="320" w:lineRule="atLeast"/>
              <w:jc w:val="right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97.50%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90F12D3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t-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</w:t>
            </w:r>
            <w:proofErr w:type="spellEnd"/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252027E" w14:textId="77777777" w:rsidR="004A7F65" w:rsidRDefault="00F75101">
            <w:pPr>
              <w:suppressAutoHyphens/>
              <w:spacing w:line="320" w:lineRule="atLeast"/>
              <w:jc w:val="center"/>
              <w:outlineLvl w:val="0"/>
            </w:pPr>
            <w:r>
              <w:rPr>
                <w:rFonts w:cs="Arial Unicode MS"/>
                <w:b/>
                <w:bCs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</w:p>
        </w:tc>
      </w:tr>
      <w:tr w:rsidR="004A7F65" w14:paraId="798E5C32" w14:textId="77777777">
        <w:trPr>
          <w:trHeight w:val="265"/>
          <w:jc w:val="right"/>
        </w:trPr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187CE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School closures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93B80F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09099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1.016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C0CBA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0.975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51A68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1.058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6F43BE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1.112</w:t>
            </w:r>
          </w:p>
        </w:tc>
        <w:tc>
          <w:tcPr>
            <w:tcW w:w="11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86A5A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0.979</w:t>
            </w:r>
          </w:p>
        </w:tc>
      </w:tr>
      <w:tr w:rsidR="004A7F65" w14:paraId="3FFC62FD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6573EA84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F8A9A3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90AA55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1.089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E349B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1.046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90766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1.134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1A5336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6.102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F70EB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1873E801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6E5BF3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Workplace closures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CA6387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58FB3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1.012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AB8B7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0.968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12E79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4B7A01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0.749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942C4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1.000</w:t>
            </w:r>
          </w:p>
        </w:tc>
      </w:tr>
      <w:tr w:rsidR="004A7F65" w14:paraId="53232F82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31982F07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50F004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14A67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42007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0.940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19812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1.029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7D2C9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-1.075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24216E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0.984</w:t>
            </w:r>
          </w:p>
        </w:tc>
      </w:tr>
      <w:tr w:rsidR="004A7F65" w14:paraId="3CBF6E9D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27110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Cancellation of public events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181655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1D721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0.947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AF244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0.894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0F0FD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E0259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-2.694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0EF45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0.091</w:t>
            </w:r>
          </w:p>
        </w:tc>
      </w:tr>
      <w:tr w:rsidR="004A7F65" w14:paraId="268294A4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170356CD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25C12C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70B8D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709DC5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618435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1.095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199FA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1.785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0D83B5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0.626</w:t>
            </w:r>
          </w:p>
        </w:tc>
      </w:tr>
      <w:tr w:rsidR="004A7F65" w14:paraId="68FEB001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D21E7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size of gatherings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5AA251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11B99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09D09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93F88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1.090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B37FA2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2.266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34431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0.268</w:t>
            </w:r>
          </w:p>
        </w:tc>
      </w:tr>
      <w:tr w:rsidR="004A7F65" w14:paraId="6051164C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0DB310B9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955470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D50E4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1.092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90849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3C734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1.153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1FF28B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4.653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A8805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65F705E7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14963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Stay-at-home requirements</w:t>
            </w:r>
          </w:p>
        </w:tc>
        <w:tc>
          <w:tcPr>
            <w:tcW w:w="1040" w:type="dxa"/>
            <w:tcBorders>
              <w:top w:val="single" w:sz="8" w:space="0" w:color="525252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F92464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F610D5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1.064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F082A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D0771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1.097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7578F4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5.823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AE336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21CFD22D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nil"/>
            </w:tcBorders>
            <w:shd w:val="clear" w:color="auto" w:fill="auto"/>
          </w:tcPr>
          <w:p w14:paraId="50AA6920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nil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8FD448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CF97F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058EF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4B327C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1.030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DCB02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0.287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6005E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1.000</w:t>
            </w:r>
          </w:p>
        </w:tc>
      </w:tr>
      <w:tr w:rsidR="004A7F65" w14:paraId="263878A5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EDF0A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internal movement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7F628C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F4352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0.917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A7FE06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0.886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C8FDE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0.949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C0DD8E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-7.285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00869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18C656A8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5F791C58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4143F8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D95F6E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1.067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2ECCB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7136F8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1.104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568670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5.560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702EF6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4A7F65" w14:paraId="32C59A04" w14:textId="77777777">
        <w:trPr>
          <w:trHeight w:val="275"/>
          <w:jc w:val="right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722DB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b/>
                <w:bCs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travel controls</w:t>
            </w:r>
          </w:p>
        </w:tc>
        <w:tc>
          <w:tcPr>
            <w:tcW w:w="104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00EB66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53789A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468FE7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0B506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1.076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1793AD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3.108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88FFAE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0.026</w:t>
            </w:r>
          </w:p>
        </w:tc>
      </w:tr>
      <w:tr w:rsidR="004A7F65" w14:paraId="5D9DB7B6" w14:textId="77777777">
        <w:trPr>
          <w:trHeight w:val="275"/>
          <w:jc w:val="right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61B26331" w14:textId="77777777" w:rsidR="004A7F65" w:rsidRDefault="004A7F65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94438B" w14:textId="77777777" w:rsidR="004A7F65" w:rsidRDefault="00F75101">
            <w:pPr>
              <w:suppressAutoHyphens/>
              <w:spacing w:line="240" w:lineRule="atLeas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Female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EFDED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0.961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440863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0.930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029F99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0.993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B17E0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-3.519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3DD83F" w14:textId="77777777" w:rsidR="004A7F65" w:rsidRDefault="00F75101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0.006</w:t>
            </w:r>
          </w:p>
        </w:tc>
      </w:tr>
    </w:tbl>
    <w:p w14:paraId="13109037" w14:textId="7D79419A" w:rsidR="00FA3179" w:rsidRDefault="00FA3179" w:rsidP="00FA3179">
      <w:pPr>
        <w:pStyle w:val="Default"/>
        <w:spacing w:before="0" w:line="240" w:lineRule="atLeast"/>
        <w:rPr>
          <w:sz w:val="21"/>
          <w:szCs w:val="21"/>
        </w:rPr>
      </w:pPr>
    </w:p>
    <w:p w14:paraId="17E8794F" w14:textId="4A3F9C44" w:rsidR="00FF5733" w:rsidRDefault="00FA3179" w:rsidP="00FF5733">
      <w:pPr>
        <w:pStyle w:val="Body"/>
      </w:pPr>
      <w:r>
        <w:rPr>
          <w:sz w:val="21"/>
          <w:szCs w:val="21"/>
        </w:rPr>
        <w:br w:type="page"/>
      </w:r>
      <w:r w:rsidR="00FF5733" w:rsidRPr="00EA5093">
        <w:rPr>
          <w:b/>
          <w:bCs/>
          <w:lang w:val="en-US"/>
        </w:rPr>
        <w:lastRenderedPageBreak/>
        <w:t>Supplemental Table</w:t>
      </w:r>
      <w:r w:rsidR="00FF5733" w:rsidRPr="00EA5093">
        <w:rPr>
          <w:b/>
          <w:bCs/>
        </w:rPr>
        <w:t xml:space="preserve"> </w:t>
      </w:r>
      <w:r w:rsidR="00FF5733" w:rsidRPr="00EA5093">
        <w:rPr>
          <w:b/>
          <w:bCs/>
          <w:lang w:val="en-US"/>
        </w:rPr>
        <w:t>2</w:t>
      </w:r>
      <w:r w:rsidR="00FF5733" w:rsidRPr="00EA5093">
        <w:rPr>
          <w:b/>
          <w:bCs/>
        </w:rPr>
        <w:t xml:space="preserve">. </w:t>
      </w:r>
      <w:r w:rsidR="00FF5733" w:rsidRPr="00EA5093">
        <w:rPr>
          <w:lang w:val="en-US"/>
        </w:rPr>
        <w:t>Odds Ratios and 95% Confidence Intervals for Associations of Non-Pharmaceutical Interventions with Anxiety and Depressive Symptoms, Stratified by Age</w:t>
      </w:r>
      <w:r w:rsidR="00F07BD4">
        <w:rPr>
          <w:lang w:val="en-US"/>
        </w:rPr>
        <w:t xml:space="preserve"> </w:t>
      </w:r>
      <w:r w:rsidR="00F07BD4">
        <w:t xml:space="preserve">(43 </w:t>
      </w:r>
      <w:proofErr w:type="spellStart"/>
      <w:r w:rsidR="00F07BD4">
        <w:t>countries</w:t>
      </w:r>
      <w:proofErr w:type="spellEnd"/>
      <w:r w:rsidR="00F07BD4">
        <w:t>, 2020)</w:t>
      </w:r>
      <w:r w:rsidR="00FF5733" w:rsidRPr="00EA5093">
        <w:rPr>
          <w:lang w:val="en-US"/>
        </w:rPr>
        <w:t>.</w:t>
      </w:r>
    </w:p>
    <w:p w14:paraId="7C56F68B" w14:textId="77777777" w:rsidR="00EA5093" w:rsidRDefault="00EA5093">
      <w:pPr>
        <w:rPr>
          <w:sz w:val="21"/>
          <w:szCs w:val="21"/>
        </w:rPr>
      </w:pPr>
    </w:p>
    <w:tbl>
      <w:tblPr>
        <w:tblW w:w="8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00"/>
        <w:gridCol w:w="1040"/>
        <w:gridCol w:w="820"/>
        <w:gridCol w:w="1120"/>
        <w:gridCol w:w="1120"/>
        <w:gridCol w:w="1060"/>
        <w:gridCol w:w="1180"/>
      </w:tblGrid>
      <w:tr w:rsidR="00EA5093" w14:paraId="700A194D" w14:textId="77777777" w:rsidTr="004A32EA">
        <w:trPr>
          <w:trHeight w:val="310"/>
        </w:trPr>
        <w:tc>
          <w:tcPr>
            <w:tcW w:w="28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D24EA" w14:textId="77777777" w:rsidR="00EA5093" w:rsidRDefault="00EA5093" w:rsidP="004A32EA">
            <w:pPr>
              <w:pStyle w:val="Body"/>
              <w:suppressAutoHyphens/>
              <w:spacing w:line="340" w:lineRule="atLeast"/>
              <w:outlineLvl w:val="0"/>
            </w:pPr>
            <w:r>
              <w:rPr>
                <w:b/>
                <w:bCs/>
                <w:sz w:val="25"/>
                <w:szCs w:val="25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Anxiety Symptoms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DE692" w14:textId="77777777" w:rsidR="00EA5093" w:rsidRDefault="00EA5093" w:rsidP="004A32EA"/>
        </w:tc>
        <w:tc>
          <w:tcPr>
            <w:tcW w:w="2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434668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3"/>
                <w:szCs w:val="23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0D5AD" w14:textId="77777777" w:rsidR="00EA5093" w:rsidRDefault="00EA5093" w:rsidP="004A32EA"/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23C25" w14:textId="77777777" w:rsidR="00EA5093" w:rsidRDefault="00EA5093" w:rsidP="004A32EA"/>
        </w:tc>
      </w:tr>
      <w:tr w:rsidR="00EA5093" w14:paraId="5A1AC3B5" w14:textId="77777777" w:rsidTr="004A32EA">
        <w:trPr>
          <w:trHeight w:val="31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99236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098B" w14:textId="77777777" w:rsidR="00EA5093" w:rsidRDefault="00EA5093" w:rsidP="004A32EA"/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9F0DC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A202E" w14:textId="77777777" w:rsidR="00EA5093" w:rsidRDefault="00EA5093" w:rsidP="004A32EA">
            <w:pPr>
              <w:pStyle w:val="Body"/>
              <w:suppressAutoHyphens/>
              <w:spacing w:line="320" w:lineRule="atLeast"/>
              <w:jc w:val="right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2.50%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B17301" w14:textId="77777777" w:rsidR="00EA5093" w:rsidRDefault="00EA5093" w:rsidP="004A32EA">
            <w:pPr>
              <w:pStyle w:val="Body"/>
              <w:suppressAutoHyphens/>
              <w:spacing w:line="320" w:lineRule="atLeast"/>
              <w:jc w:val="right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97.50%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95D597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t-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</w:t>
            </w:r>
            <w:proofErr w:type="spellEnd"/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2FCEBC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</w:p>
        </w:tc>
      </w:tr>
      <w:tr w:rsidR="00EA5093" w14:paraId="731DD66F" w14:textId="77777777" w:rsidTr="004A32EA">
        <w:trPr>
          <w:trHeight w:val="215"/>
        </w:trPr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2E68C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School closures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62FF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525252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659BE2E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1.031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BE1D9F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0.983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27441F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1.082</w:t>
            </w:r>
          </w:p>
        </w:tc>
        <w:tc>
          <w:tcPr>
            <w:tcW w:w="106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1142541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1.879</w:t>
            </w:r>
          </w:p>
        </w:tc>
        <w:tc>
          <w:tcPr>
            <w:tcW w:w="118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CE61E1C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0.552</w:t>
            </w:r>
          </w:p>
        </w:tc>
      </w:tr>
      <w:tr w:rsidR="00EA5093" w14:paraId="15FE59C3" w14:textId="77777777" w:rsidTr="004A32EA">
        <w:trPr>
          <w:trHeight w:val="215"/>
        </w:trPr>
        <w:tc>
          <w:tcPr>
            <w:tcW w:w="1800" w:type="dxa"/>
            <w:vMerge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5AB85E5A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909D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9A0C2C8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75D544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277685C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1.058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9EB643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2.646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670872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0.104</w:t>
            </w:r>
          </w:p>
        </w:tc>
      </w:tr>
      <w:tr w:rsidR="00EA5093" w14:paraId="64F033BD" w14:textId="77777777" w:rsidTr="004A32EA">
        <w:trPr>
          <w:trHeight w:val="215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38D9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Workplace closures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C0B7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410E4D3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727634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0.935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D18282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1.045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2C86091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-0.604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C2D67B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1.000</w:t>
            </w:r>
          </w:p>
        </w:tc>
      </w:tr>
      <w:tr w:rsidR="00EA5093" w14:paraId="4905B0A1" w14:textId="77777777" w:rsidTr="004A32EA">
        <w:trPr>
          <w:trHeight w:val="215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6DFDC135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0F81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061AE71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E6DF213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AECB89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67346A9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2.124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F6AA340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0.362</w:t>
            </w:r>
          </w:p>
        </w:tc>
      </w:tr>
      <w:tr w:rsidR="00EA5093" w14:paraId="7B307ABF" w14:textId="77777777" w:rsidTr="004A32EA">
        <w:trPr>
          <w:trHeight w:val="215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5FD48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Cancellation of public events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A978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58C333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E96926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17BAB8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1.132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070044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2.257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461E8E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0.275</w:t>
            </w:r>
          </w:p>
        </w:tc>
      </w:tr>
      <w:tr w:rsidR="00EA5093" w14:paraId="635BE591" w14:textId="77777777" w:rsidTr="004A32EA">
        <w:trPr>
          <w:trHeight w:val="215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0DE1DE43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60F8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B4CDF8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F278120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9918EF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1.064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026EB7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1.908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023AAC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0.529</w:t>
            </w:r>
          </w:p>
        </w:tc>
      </w:tr>
      <w:tr w:rsidR="00EA5093" w14:paraId="29B8918C" w14:textId="77777777" w:rsidTr="004A32EA">
        <w:trPr>
          <w:trHeight w:val="215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D1E0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size of gatherings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7549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C32557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1.029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205E8A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7BA7B59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1.087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81ADFC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1.495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A076BA0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0.842</w:t>
            </w:r>
          </w:p>
        </w:tc>
      </w:tr>
      <w:tr w:rsidR="00EA5093" w14:paraId="313A5FEF" w14:textId="77777777" w:rsidTr="004A32EA">
        <w:trPr>
          <w:trHeight w:val="215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28B47915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5F093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93AF7FE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1.107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64894C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1.067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980776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1.148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0716D7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8.062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A81D0F8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EA5093" w14:paraId="23F65DEA" w14:textId="77777777" w:rsidTr="004A32EA">
        <w:trPr>
          <w:trHeight w:val="215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F2340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Stay-at-home requirements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1668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1006A8C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0.908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80463BC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0.880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B730C3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0.937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7A7BF6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-8.877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966487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EA5093" w14:paraId="6239B7A7" w14:textId="77777777" w:rsidTr="004A32EA">
        <w:trPr>
          <w:trHeight w:val="215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3D7D9055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6DACF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8D4E71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1.035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AB1C6B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1.015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121ACF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1.055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3F4EF3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5.065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68B1F39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0.000</w:t>
            </w:r>
          </w:p>
        </w:tc>
      </w:tr>
      <w:tr w:rsidR="00EA5093" w14:paraId="71A2ABE4" w14:textId="77777777" w:rsidTr="004A32EA">
        <w:trPr>
          <w:trHeight w:val="215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77BBA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internal movement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26449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9AE3CEE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0.946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C644C5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0.910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ED1127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5BF863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-4.025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F8C3A3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0.001</w:t>
            </w:r>
          </w:p>
        </w:tc>
      </w:tr>
      <w:tr w:rsidR="00EA5093" w14:paraId="2C6CFF9B" w14:textId="77777777" w:rsidTr="004A32EA">
        <w:trPr>
          <w:trHeight w:val="215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08A94E88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5EE4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AE3467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C1323D0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0.948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551C19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C7BE42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-3.482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7ED0F3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0.007</w:t>
            </w:r>
          </w:p>
        </w:tc>
      </w:tr>
      <w:tr w:rsidR="00EA5093" w14:paraId="733CB108" w14:textId="77777777" w:rsidTr="004A32EA">
        <w:trPr>
          <w:trHeight w:val="215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69C3F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travel controls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50CE7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BFCE90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1.013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084E66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0.979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588832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1.047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11BE7F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1.084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69F2AE1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0.984</w:t>
            </w:r>
          </w:p>
        </w:tc>
      </w:tr>
      <w:tr w:rsidR="00EA5093" w14:paraId="1875E6C4" w14:textId="77777777" w:rsidTr="004A32EA">
        <w:trPr>
          <w:trHeight w:val="215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7A60820E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408E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E3B6FF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1.018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9430B2E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0.993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C10C33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1.043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1A1F121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2.032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3504E94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0.430</w:t>
            </w:r>
          </w:p>
        </w:tc>
      </w:tr>
    </w:tbl>
    <w:p w14:paraId="7E22B9DA" w14:textId="77777777" w:rsidR="00EA5093" w:rsidRDefault="00EA5093" w:rsidP="00EA5093">
      <w:pPr>
        <w:pStyle w:val="BodyA"/>
        <w:rPr>
          <w:lang w:val="en-US"/>
        </w:rPr>
      </w:pPr>
      <w:r>
        <w:rPr>
          <w:lang w:val="en-US"/>
        </w:rPr>
        <w:t xml:space="preserve"> </w:t>
      </w:r>
    </w:p>
    <w:p w14:paraId="1540D96F" w14:textId="77777777" w:rsidR="00EA5093" w:rsidRDefault="00EA5093" w:rsidP="00EA5093">
      <w:pPr>
        <w:pStyle w:val="BodyA"/>
        <w:rPr>
          <w:lang w:val="en-US"/>
        </w:rPr>
      </w:pPr>
    </w:p>
    <w:p w14:paraId="73E226E7" w14:textId="77777777" w:rsidR="00EA5093" w:rsidRDefault="00EA5093" w:rsidP="00EA5093">
      <w:pPr>
        <w:pStyle w:val="BodyA"/>
        <w:rPr>
          <w:lang w:val="en-US"/>
        </w:rPr>
      </w:pPr>
    </w:p>
    <w:tbl>
      <w:tblPr>
        <w:tblW w:w="8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00"/>
        <w:gridCol w:w="1040"/>
        <w:gridCol w:w="820"/>
        <w:gridCol w:w="1120"/>
        <w:gridCol w:w="1120"/>
        <w:gridCol w:w="1060"/>
        <w:gridCol w:w="1180"/>
      </w:tblGrid>
      <w:tr w:rsidR="00EA5093" w14:paraId="653B83F9" w14:textId="77777777" w:rsidTr="004A32EA">
        <w:trPr>
          <w:trHeight w:val="310"/>
        </w:trPr>
        <w:tc>
          <w:tcPr>
            <w:tcW w:w="28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B52DF" w14:textId="77777777" w:rsidR="00EA5093" w:rsidRDefault="00EA5093" w:rsidP="004A32EA">
            <w:pPr>
              <w:pStyle w:val="Body"/>
              <w:suppressAutoHyphens/>
              <w:spacing w:line="340" w:lineRule="atLeast"/>
              <w:outlineLvl w:val="0"/>
            </w:pPr>
            <w:r>
              <w:rPr>
                <w:b/>
                <w:bCs/>
                <w:sz w:val="25"/>
                <w:szCs w:val="25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Depression Symptoms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A6FEAA" w14:textId="77777777" w:rsidR="00EA5093" w:rsidRDefault="00EA5093" w:rsidP="004A32EA"/>
        </w:tc>
        <w:tc>
          <w:tcPr>
            <w:tcW w:w="2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4AECE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3"/>
                <w:szCs w:val="23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32CFA8" w14:textId="77777777" w:rsidR="00EA5093" w:rsidRDefault="00EA5093" w:rsidP="004A32EA"/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52A10" w14:textId="77777777" w:rsidR="00EA5093" w:rsidRDefault="00EA5093" w:rsidP="004A32EA"/>
        </w:tc>
      </w:tr>
      <w:tr w:rsidR="00EA5093" w14:paraId="0D2B0A30" w14:textId="77777777" w:rsidTr="004A32EA">
        <w:trPr>
          <w:trHeight w:val="31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2D155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769C" w14:textId="77777777" w:rsidR="00EA5093" w:rsidRDefault="00EA5093" w:rsidP="004A32EA"/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83F225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D6D7A" w14:textId="77777777" w:rsidR="00EA5093" w:rsidRDefault="00EA5093" w:rsidP="004A32EA">
            <w:pPr>
              <w:pStyle w:val="Body"/>
              <w:suppressAutoHyphens/>
              <w:spacing w:line="320" w:lineRule="atLeast"/>
              <w:jc w:val="right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2.50%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DBAB6" w14:textId="77777777" w:rsidR="00EA5093" w:rsidRDefault="00EA5093" w:rsidP="004A32EA">
            <w:pPr>
              <w:pStyle w:val="Body"/>
              <w:suppressAutoHyphens/>
              <w:spacing w:line="320" w:lineRule="atLeast"/>
              <w:jc w:val="right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97.50%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40A658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t-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</w:t>
            </w:r>
            <w:proofErr w:type="spellEnd"/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A49B9" w14:textId="77777777" w:rsidR="00EA5093" w:rsidRDefault="00EA5093" w:rsidP="004A32EA">
            <w:pPr>
              <w:pStyle w:val="Body"/>
              <w:suppressAutoHyphens/>
              <w:spacing w:line="320" w:lineRule="atLeast"/>
              <w:jc w:val="center"/>
              <w:outlineLvl w:val="0"/>
            </w:pPr>
            <w:r>
              <w:rPr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</w:p>
        </w:tc>
      </w:tr>
      <w:tr w:rsidR="00EA5093" w14:paraId="4E19CABE" w14:textId="77777777" w:rsidTr="004A32EA">
        <w:trPr>
          <w:trHeight w:val="251"/>
        </w:trPr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28DF5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School closures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CC485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525252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C1E53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1.136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214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1.093</w:t>
            </w:r>
          </w:p>
        </w:tc>
        <w:tc>
          <w:tcPr>
            <w:tcW w:w="112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8E4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1.181</w:t>
            </w:r>
          </w:p>
        </w:tc>
        <w:tc>
          <w:tcPr>
            <w:tcW w:w="106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5AEB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9.580</w:t>
            </w:r>
          </w:p>
        </w:tc>
        <w:tc>
          <w:tcPr>
            <w:tcW w:w="1180" w:type="dxa"/>
            <w:tcBorders>
              <w:top w:val="single" w:sz="8" w:space="0" w:color="525252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33D1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0.000</w:t>
            </w:r>
          </w:p>
        </w:tc>
      </w:tr>
      <w:tr w:rsidR="00EA5093" w14:paraId="15193064" w14:textId="77777777" w:rsidTr="004A32EA">
        <w:trPr>
          <w:trHeight w:val="251"/>
        </w:trPr>
        <w:tc>
          <w:tcPr>
            <w:tcW w:w="1800" w:type="dxa"/>
            <w:vMerge/>
            <w:tcBorders>
              <w:top w:val="nil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4E83C87E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F7213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16B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1.018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810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0.993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4CC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1.044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2B1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2.071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0EA4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0.401</w:t>
            </w:r>
          </w:p>
        </w:tc>
      </w:tr>
      <w:tr w:rsidR="00EA5093" w14:paraId="751FF074" w14:textId="77777777" w:rsidTr="004A32EA">
        <w:trPr>
          <w:trHeight w:val="251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22A73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Workplace closures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2126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5818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0.995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F5E69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0.951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BA98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1.041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56A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-0.342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FAD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1.000</w:t>
            </w:r>
          </w:p>
        </w:tc>
      </w:tr>
      <w:tr w:rsidR="00EA5093" w14:paraId="48CACBCB" w14:textId="77777777" w:rsidTr="004A32EA">
        <w:trPr>
          <w:trHeight w:val="251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655896FD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543B3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F10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1.009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ADC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0.981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A99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1.037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1C3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0.900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B5F10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0.997</w:t>
            </w:r>
          </w:p>
        </w:tc>
      </w:tr>
      <w:tr w:rsidR="00EA5093" w14:paraId="7FF005CA" w14:textId="77777777" w:rsidTr="004A32EA">
        <w:trPr>
          <w:trHeight w:val="251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90290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Cancellation of public events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423A8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B99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0.947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50D0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0.894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B03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1.004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5BC8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-2.706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FDE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0.088</w:t>
            </w:r>
          </w:p>
        </w:tc>
      </w:tr>
      <w:tr w:rsidR="00EA5093" w14:paraId="4EC38FDE" w14:textId="77777777" w:rsidTr="004A32EA">
        <w:trPr>
          <w:trHeight w:val="251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361B2127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97EE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8593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1.034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40920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0.998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EB831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1.071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DFA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2.739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F2A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0.080</w:t>
            </w:r>
          </w:p>
        </w:tc>
      </w:tr>
      <w:tr w:rsidR="00EA5093" w14:paraId="25BC87DE" w14:textId="77777777" w:rsidTr="004A32EA">
        <w:trPr>
          <w:trHeight w:val="251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31A41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size of gatherings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0AF4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F639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1.070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E2C4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1.021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4EFE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1.122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65A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4.141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896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0.000</w:t>
            </w:r>
          </w:p>
        </w:tc>
      </w:tr>
      <w:tr w:rsidR="00EA5093" w14:paraId="3D3E4DE2" w14:textId="77777777" w:rsidTr="004A32EA">
        <w:trPr>
          <w:trHeight w:val="251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4CB519C1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9CD3D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8BF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1.079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DE87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1.045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CD4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1.115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475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6.760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050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0.000</w:t>
            </w:r>
          </w:p>
        </w:tc>
      </w:tr>
      <w:tr w:rsidR="00EA5093" w14:paraId="7D5BC595" w14:textId="77777777" w:rsidTr="004A32EA">
        <w:trPr>
          <w:trHeight w:val="251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EB25E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Stay-at-home requirements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7CC3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4305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EC29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0.917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B67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0.967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B758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-6.616</w:t>
            </w:r>
          </w:p>
        </w:tc>
        <w:tc>
          <w:tcPr>
            <w:tcW w:w="11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62C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0.000</w:t>
            </w:r>
          </w:p>
        </w:tc>
      </w:tr>
      <w:tr w:rsidR="00EA5093" w14:paraId="23C83638" w14:textId="77777777" w:rsidTr="004A32EA">
        <w:trPr>
          <w:trHeight w:val="251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44B7DC0A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4FA9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F30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1.075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AF0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1.056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FBA8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1.094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1FA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11.963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FAD4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0.000</w:t>
            </w:r>
          </w:p>
        </w:tc>
      </w:tr>
      <w:tr w:rsidR="00EA5093" w14:paraId="56A98507" w14:textId="77777777" w:rsidTr="004A32EA">
        <w:trPr>
          <w:trHeight w:val="251"/>
        </w:trPr>
        <w:tc>
          <w:tcPr>
            <w:tcW w:w="1800" w:type="dxa"/>
            <w:vMerge w:val="restart"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4D49D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Restrictions on internal movement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D75CF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59D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0.982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9C0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0.951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01CD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1.013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7EAF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-1.715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E93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0.687</w:t>
            </w:r>
          </w:p>
        </w:tc>
      </w:tr>
      <w:tr w:rsidR="00EA5093" w14:paraId="7BCBBC95" w14:textId="77777777" w:rsidTr="004A32EA">
        <w:trPr>
          <w:trHeight w:val="251"/>
        </w:trPr>
        <w:tc>
          <w:tcPr>
            <w:tcW w:w="1800" w:type="dxa"/>
            <w:vMerge/>
            <w:tcBorders>
              <w:top w:val="single" w:sz="8" w:space="0" w:color="525252"/>
              <w:left w:val="nil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40613C7A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F37A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8363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1.014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32E61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0.993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08AB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1.035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46243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1.889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6B8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0.545</w:t>
            </w:r>
          </w:p>
        </w:tc>
      </w:tr>
      <w:tr w:rsidR="00EA5093" w14:paraId="4AD95EE9" w14:textId="77777777" w:rsidTr="004A32EA">
        <w:trPr>
          <w:trHeight w:val="251"/>
        </w:trPr>
        <w:tc>
          <w:tcPr>
            <w:tcW w:w="1800" w:type="dxa"/>
            <w:vMerge w:val="restart"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9637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b/>
                <w:bCs/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travel controls</w:t>
            </w:r>
          </w:p>
        </w:tc>
        <w:tc>
          <w:tcPr>
            <w:tcW w:w="10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A003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5960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1.006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79E3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0.977</w:t>
            </w:r>
          </w:p>
        </w:tc>
        <w:tc>
          <w:tcPr>
            <w:tcW w:w="11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D44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1.035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D8753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0.572</w:t>
            </w:r>
          </w:p>
        </w:tc>
        <w:tc>
          <w:tcPr>
            <w:tcW w:w="11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6BB2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1.000</w:t>
            </w:r>
          </w:p>
        </w:tc>
      </w:tr>
      <w:tr w:rsidR="00EA5093" w14:paraId="53DF4820" w14:textId="77777777" w:rsidTr="004A32EA">
        <w:trPr>
          <w:trHeight w:val="251"/>
        </w:trPr>
        <w:tc>
          <w:tcPr>
            <w:tcW w:w="1800" w:type="dxa"/>
            <w:vMerge/>
            <w:tcBorders>
              <w:top w:val="single" w:sz="8" w:space="0" w:color="525252"/>
              <w:left w:val="single" w:sz="8" w:space="0" w:color="FFFFFF"/>
              <w:bottom w:val="single" w:sz="8" w:space="0" w:color="525252"/>
              <w:right w:val="single" w:sz="8" w:space="0" w:color="FFFFFF"/>
            </w:tcBorders>
            <w:shd w:val="clear" w:color="auto" w:fill="auto"/>
          </w:tcPr>
          <w:p w14:paraId="101AE2EB" w14:textId="77777777" w:rsidR="00EA5093" w:rsidRDefault="00EA5093" w:rsidP="004A32EA"/>
        </w:tc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525252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15C7" w14:textId="77777777" w:rsidR="00EA5093" w:rsidRDefault="00EA5093" w:rsidP="004A32EA">
            <w:pPr>
              <w:pStyle w:val="Body"/>
              <w:suppressAutoHyphens/>
              <w:spacing w:line="240" w:lineRule="atLeast"/>
              <w:outlineLvl w:val="0"/>
            </w:pPr>
            <w:r>
              <w:rPr>
                <w:sz w:val="19"/>
                <w:szCs w:val="1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25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6D47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1.006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D0B8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0.984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0A9AA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1.029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B466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0.831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9E7F" w14:textId="77777777" w:rsidR="00EA5093" w:rsidRDefault="00EA5093" w:rsidP="004A32EA">
            <w:pPr>
              <w:suppressAutoHyphens/>
              <w:spacing w:line="240" w:lineRule="atLeast"/>
              <w:jc w:val="right"/>
              <w:outlineLvl w:val="0"/>
            </w:pPr>
            <w:r>
              <w:rPr>
                <w:rFonts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0.999</w:t>
            </w:r>
          </w:p>
        </w:tc>
      </w:tr>
    </w:tbl>
    <w:p w14:paraId="2FD6B6EB" w14:textId="6D2D4257" w:rsidR="00FF5733" w:rsidRDefault="00FF5733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686015C5" w14:textId="77777777" w:rsidR="004A7F65" w:rsidRDefault="00F75101">
      <w:pPr>
        <w:pStyle w:val="Body"/>
        <w:rPr>
          <w:b/>
          <w:bCs/>
        </w:rPr>
      </w:pPr>
      <w:proofErr w:type="spellStart"/>
      <w:r>
        <w:rPr>
          <w:b/>
          <w:bCs/>
          <w:lang w:val="de-DE"/>
        </w:rPr>
        <w:lastRenderedPageBreak/>
        <w:t>Supplemental</w:t>
      </w:r>
      <w:proofErr w:type="spellEnd"/>
      <w:r>
        <w:rPr>
          <w:b/>
          <w:bCs/>
          <w:lang w:val="de-DE"/>
        </w:rPr>
        <w:t xml:space="preserve"> Text</w:t>
      </w:r>
    </w:p>
    <w:p w14:paraId="49301E27" w14:textId="77777777" w:rsidR="004A7F65" w:rsidRDefault="004A7F65">
      <w:pPr>
        <w:pStyle w:val="Body"/>
      </w:pPr>
    </w:p>
    <w:p w14:paraId="5601941C" w14:textId="77777777" w:rsidR="004A7F65" w:rsidRDefault="00F75101">
      <w:pPr>
        <w:pStyle w:val="Body"/>
      </w:pPr>
      <w:proofErr w:type="spellStart"/>
      <w:r>
        <w:rPr>
          <w:lang w:val="nl-NL"/>
        </w:rPr>
        <w:t>Countries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included</w:t>
      </w:r>
      <w:proofErr w:type="spellEnd"/>
      <w:r>
        <w:rPr>
          <w:lang w:val="nl-NL"/>
        </w:rPr>
        <w:t xml:space="preserve"> in analyses: Argentina, Australia, Austria, Belgium, Brazil, Bulgaria, Canada, Chile, Colombia, Costa Rica, </w:t>
      </w:r>
      <w:proofErr w:type="spellStart"/>
      <w:r>
        <w:rPr>
          <w:lang w:val="nl-NL"/>
        </w:rPr>
        <w:t>Czech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Republic</w:t>
      </w:r>
      <w:proofErr w:type="spellEnd"/>
      <w:r>
        <w:rPr>
          <w:lang w:val="nl-NL"/>
        </w:rPr>
        <w:t xml:space="preserve">, Denmark, Estonia, Finland, France, Germany, Greece, Hungary, Iceland, India, Indonesia, Ireland, </w:t>
      </w:r>
      <w:proofErr w:type="spellStart"/>
      <w:r>
        <w:rPr>
          <w:lang w:val="nl-NL"/>
        </w:rPr>
        <w:t>Israel</w:t>
      </w:r>
      <w:proofErr w:type="spellEnd"/>
      <w:r>
        <w:rPr>
          <w:lang w:val="nl-NL"/>
        </w:rPr>
        <w:t xml:space="preserve">, Italy, Japan, Latvia, Lithuania, Luxembourg, Mexico, Netherlands, New </w:t>
      </w:r>
      <w:proofErr w:type="spellStart"/>
      <w:r>
        <w:rPr>
          <w:lang w:val="nl-NL"/>
        </w:rPr>
        <w:t>Zealand</w:t>
      </w:r>
      <w:proofErr w:type="spellEnd"/>
      <w:r>
        <w:rPr>
          <w:lang w:val="nl-NL"/>
        </w:rPr>
        <w:t xml:space="preserve">, Norway, Poland, Portugal, Romania, Russia, Slovenia, South </w:t>
      </w:r>
      <w:proofErr w:type="spellStart"/>
      <w:r>
        <w:rPr>
          <w:lang w:val="nl-NL"/>
        </w:rPr>
        <w:t>Africa</w:t>
      </w:r>
      <w:proofErr w:type="spellEnd"/>
      <w:r>
        <w:rPr>
          <w:lang w:val="nl-NL"/>
        </w:rPr>
        <w:t xml:space="preserve">, Spain, Sweden, Switzerland, Turkey, United </w:t>
      </w:r>
      <w:proofErr w:type="spellStart"/>
      <w:r>
        <w:rPr>
          <w:lang w:val="nl-NL"/>
        </w:rPr>
        <w:t>Kingdom</w:t>
      </w:r>
      <w:proofErr w:type="spellEnd"/>
    </w:p>
    <w:sectPr w:rsidR="004A7F65">
      <w:headerReference w:type="default" r:id="rId40"/>
      <w:footerReference w:type="default" r:id="rId41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22A" w14:textId="77777777" w:rsidR="0028535A" w:rsidRDefault="0028535A">
      <w:r>
        <w:separator/>
      </w:r>
    </w:p>
  </w:endnote>
  <w:endnote w:type="continuationSeparator" w:id="0">
    <w:p w14:paraId="7F4ECD3A" w14:textId="77777777" w:rsidR="0028535A" w:rsidRDefault="0028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657A" w14:textId="77777777" w:rsidR="004A7F65" w:rsidRDefault="004A7F6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6CDF" w14:textId="77777777" w:rsidR="0028535A" w:rsidRDefault="0028535A">
      <w:r>
        <w:separator/>
      </w:r>
    </w:p>
  </w:footnote>
  <w:footnote w:type="continuationSeparator" w:id="0">
    <w:p w14:paraId="7F17F293" w14:textId="77777777" w:rsidR="0028535A" w:rsidRDefault="0028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4543" w14:textId="77777777" w:rsidR="004A7F65" w:rsidRDefault="004A7F6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65"/>
    <w:rsid w:val="0002719C"/>
    <w:rsid w:val="00087BB1"/>
    <w:rsid w:val="000C08D1"/>
    <w:rsid w:val="00104FBE"/>
    <w:rsid w:val="001A21CB"/>
    <w:rsid w:val="001A4ACA"/>
    <w:rsid w:val="002200AC"/>
    <w:rsid w:val="0023370C"/>
    <w:rsid w:val="0028535A"/>
    <w:rsid w:val="002B12F4"/>
    <w:rsid w:val="002C4026"/>
    <w:rsid w:val="003726A2"/>
    <w:rsid w:val="004136EE"/>
    <w:rsid w:val="004A7F65"/>
    <w:rsid w:val="004B7739"/>
    <w:rsid w:val="004F3BBC"/>
    <w:rsid w:val="00566EAD"/>
    <w:rsid w:val="0071601A"/>
    <w:rsid w:val="00975E55"/>
    <w:rsid w:val="00AA36B6"/>
    <w:rsid w:val="00BA11E5"/>
    <w:rsid w:val="00C90586"/>
    <w:rsid w:val="00EA5093"/>
    <w:rsid w:val="00EF5433"/>
    <w:rsid w:val="00F07BD4"/>
    <w:rsid w:val="00F75101"/>
    <w:rsid w:val="00FA3179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CC52F"/>
  <w15:docId w15:val="{3FA8B908-6FD2-3142-9974-B8D50045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EA5093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Kira Riehm</cp:lastModifiedBy>
  <cp:revision>3</cp:revision>
  <dcterms:created xsi:type="dcterms:W3CDTF">2022-01-24T15:01:00Z</dcterms:created>
  <dcterms:modified xsi:type="dcterms:W3CDTF">2022-01-24T15:02:00Z</dcterms:modified>
</cp:coreProperties>
</file>