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9C86" w14:textId="77777777" w:rsidR="00FF350C" w:rsidRDefault="00FF350C" w:rsidP="00FF350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32"/>
        </w:rPr>
        <w:t xml:space="preserve">Supplementary Table S1 </w:t>
      </w:r>
      <w:bookmarkStart w:id="0" w:name="OLE_LINK60"/>
      <w:r>
        <w:rPr>
          <w:rFonts w:ascii="Times New Roman" w:hAnsi="Times New Roman" w:cs="Times New Roman"/>
          <w:b/>
          <w:bCs/>
          <w:i/>
          <w:iCs/>
          <w:sz w:val="24"/>
          <w:szCs w:val="32"/>
        </w:rPr>
        <w:t xml:space="preserve">Univariate analysis of association between sociodemographic factors and Chinese dietary guidelines awareness, </w:t>
      </w:r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32"/>
        </w:rPr>
        <w:t>China, 2021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1916"/>
        <w:gridCol w:w="1541"/>
        <w:gridCol w:w="2134"/>
        <w:gridCol w:w="948"/>
      </w:tblGrid>
      <w:tr w:rsidR="00FF350C" w14:paraId="30418F16" w14:textId="77777777" w:rsidTr="00D544AB">
        <w:trPr>
          <w:trHeight w:val="290"/>
        </w:trPr>
        <w:tc>
          <w:tcPr>
            <w:tcW w:w="1238" w:type="dxa"/>
            <w:tcBorders>
              <w:top w:val="single" w:sz="12" w:space="0" w:color="auto"/>
              <w:bottom w:val="nil"/>
            </w:tcBorders>
            <w:noWrap/>
          </w:tcPr>
          <w:p w14:paraId="23A2A336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tcBorders>
              <w:top w:val="single" w:sz="12" w:space="0" w:color="auto"/>
              <w:bottom w:val="nil"/>
            </w:tcBorders>
            <w:noWrap/>
          </w:tcPr>
          <w:p w14:paraId="315C22F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3675" w:type="dxa"/>
            <w:gridSpan w:val="2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36B70B9E" w14:textId="77777777" w:rsidR="00FF350C" w:rsidRDefault="00FF350C" w:rsidP="00D544A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  <w:t>Awareness of CDG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lang w:bidi="ar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bottom w:val="nil"/>
            </w:tcBorders>
            <w:noWrap/>
          </w:tcPr>
          <w:p w14:paraId="27457FB8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683D3F19" w14:textId="77777777" w:rsidTr="00D544AB">
        <w:trPr>
          <w:trHeight w:val="290"/>
        </w:trPr>
        <w:tc>
          <w:tcPr>
            <w:tcW w:w="1238" w:type="dxa"/>
            <w:tcBorders>
              <w:top w:val="nil"/>
              <w:bottom w:val="single" w:sz="8" w:space="0" w:color="auto"/>
            </w:tcBorders>
            <w:noWrap/>
          </w:tcPr>
          <w:p w14:paraId="5E1AFF4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  <w:t>Factor</w:t>
            </w:r>
          </w:p>
        </w:tc>
        <w:tc>
          <w:tcPr>
            <w:tcW w:w="1916" w:type="dxa"/>
            <w:tcBorders>
              <w:top w:val="nil"/>
              <w:bottom w:val="single" w:sz="8" w:space="0" w:color="auto"/>
            </w:tcBorders>
            <w:noWrap/>
          </w:tcPr>
          <w:p w14:paraId="4CC0412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</w:pPr>
          </w:p>
        </w:tc>
        <w:tc>
          <w:tcPr>
            <w:tcW w:w="1541" w:type="dxa"/>
            <w:tcBorders>
              <w:top w:val="nil"/>
              <w:bottom w:val="single" w:sz="8" w:space="0" w:color="auto"/>
            </w:tcBorders>
            <w:noWrap/>
          </w:tcPr>
          <w:p w14:paraId="06904066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  <w:t>Poor</w:t>
            </w:r>
          </w:p>
        </w:tc>
        <w:tc>
          <w:tcPr>
            <w:tcW w:w="2134" w:type="dxa"/>
            <w:tcBorders>
              <w:top w:val="nil"/>
              <w:bottom w:val="single" w:sz="8" w:space="0" w:color="auto"/>
            </w:tcBorders>
            <w:noWrap/>
          </w:tcPr>
          <w:p w14:paraId="67034A9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  <w:t>Good</w:t>
            </w:r>
          </w:p>
        </w:tc>
        <w:tc>
          <w:tcPr>
            <w:tcW w:w="948" w:type="dxa"/>
            <w:tcBorders>
              <w:top w:val="nil"/>
              <w:bottom w:val="single" w:sz="8" w:space="0" w:color="auto"/>
            </w:tcBorders>
            <w:noWrap/>
          </w:tcPr>
          <w:p w14:paraId="045266C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lang w:bidi="ar"/>
              </w:rPr>
              <w:t>p-value</w:t>
            </w:r>
          </w:p>
        </w:tc>
      </w:tr>
      <w:tr w:rsidR="00FF350C" w14:paraId="36370B9A" w14:textId="77777777" w:rsidTr="00D544AB">
        <w:trPr>
          <w:trHeight w:val="290"/>
        </w:trPr>
        <w:tc>
          <w:tcPr>
            <w:tcW w:w="1238" w:type="dxa"/>
            <w:tcBorders>
              <w:top w:val="single" w:sz="8" w:space="0" w:color="auto"/>
            </w:tcBorders>
            <w:noWrap/>
          </w:tcPr>
          <w:p w14:paraId="10AA9061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N</w:t>
            </w:r>
          </w:p>
        </w:tc>
        <w:tc>
          <w:tcPr>
            <w:tcW w:w="1916" w:type="dxa"/>
            <w:tcBorders>
              <w:top w:val="single" w:sz="8" w:space="0" w:color="auto"/>
            </w:tcBorders>
            <w:noWrap/>
          </w:tcPr>
          <w:p w14:paraId="7A719B19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541" w:type="dxa"/>
            <w:tcBorders>
              <w:top w:val="single" w:sz="8" w:space="0" w:color="auto"/>
            </w:tcBorders>
            <w:noWrap/>
          </w:tcPr>
          <w:p w14:paraId="73580152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n=6194</w:t>
            </w:r>
          </w:p>
        </w:tc>
        <w:tc>
          <w:tcPr>
            <w:tcW w:w="2134" w:type="dxa"/>
            <w:tcBorders>
              <w:top w:val="single" w:sz="8" w:space="0" w:color="auto"/>
            </w:tcBorders>
            <w:noWrap/>
          </w:tcPr>
          <w:p w14:paraId="12378EB8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n=2126</w:t>
            </w:r>
          </w:p>
        </w:tc>
        <w:tc>
          <w:tcPr>
            <w:tcW w:w="948" w:type="dxa"/>
            <w:tcBorders>
              <w:top w:val="single" w:sz="8" w:space="0" w:color="auto"/>
            </w:tcBorders>
            <w:noWrap/>
          </w:tcPr>
          <w:p w14:paraId="786AD9EB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352116D0" w14:textId="77777777" w:rsidTr="00D544AB">
        <w:trPr>
          <w:trHeight w:val="290"/>
        </w:trPr>
        <w:tc>
          <w:tcPr>
            <w:tcW w:w="1238" w:type="dxa"/>
            <w:vMerge w:val="restart"/>
            <w:noWrap/>
            <w:vAlign w:val="center"/>
          </w:tcPr>
          <w:p w14:paraId="78C4D6E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Region</w:t>
            </w:r>
          </w:p>
        </w:tc>
        <w:tc>
          <w:tcPr>
            <w:tcW w:w="1916" w:type="dxa"/>
            <w:noWrap/>
            <w:vAlign w:val="center"/>
          </w:tcPr>
          <w:p w14:paraId="3275527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Guizhou</w:t>
            </w:r>
          </w:p>
        </w:tc>
        <w:tc>
          <w:tcPr>
            <w:tcW w:w="1541" w:type="dxa"/>
            <w:noWrap/>
          </w:tcPr>
          <w:p w14:paraId="59E913C4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1904 (30.7%)</w:t>
            </w:r>
          </w:p>
        </w:tc>
        <w:tc>
          <w:tcPr>
            <w:tcW w:w="2134" w:type="dxa"/>
            <w:noWrap/>
          </w:tcPr>
          <w:p w14:paraId="5DA8280F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412 (19.4%)</w:t>
            </w:r>
          </w:p>
        </w:tc>
        <w:tc>
          <w:tcPr>
            <w:tcW w:w="948" w:type="dxa"/>
            <w:noWrap/>
          </w:tcPr>
          <w:p w14:paraId="1715A9D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&lt;0.001</w:t>
            </w:r>
          </w:p>
        </w:tc>
      </w:tr>
      <w:tr w:rsidR="00FF350C" w14:paraId="57773FB5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5174F98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0F94E92A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Yunnan</w:t>
            </w:r>
          </w:p>
        </w:tc>
        <w:tc>
          <w:tcPr>
            <w:tcW w:w="1541" w:type="dxa"/>
            <w:noWrap/>
          </w:tcPr>
          <w:p w14:paraId="5EC1AA2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1032 (16.7%)</w:t>
            </w:r>
          </w:p>
        </w:tc>
        <w:tc>
          <w:tcPr>
            <w:tcW w:w="2134" w:type="dxa"/>
            <w:noWrap/>
          </w:tcPr>
          <w:p w14:paraId="46AA69D9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432 (20.3%)</w:t>
            </w:r>
          </w:p>
        </w:tc>
        <w:tc>
          <w:tcPr>
            <w:tcW w:w="948" w:type="dxa"/>
            <w:noWrap/>
          </w:tcPr>
          <w:p w14:paraId="12AB7A1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29D3581A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14D3F8EB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23011402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Sichuan</w:t>
            </w:r>
          </w:p>
        </w:tc>
        <w:tc>
          <w:tcPr>
            <w:tcW w:w="1541" w:type="dxa"/>
            <w:noWrap/>
          </w:tcPr>
          <w:p w14:paraId="7B6952E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1181 (19.1%)</w:t>
            </w:r>
          </w:p>
        </w:tc>
        <w:tc>
          <w:tcPr>
            <w:tcW w:w="2134" w:type="dxa"/>
            <w:noWrap/>
          </w:tcPr>
          <w:p w14:paraId="129DB738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488 (23.0%)</w:t>
            </w:r>
          </w:p>
        </w:tc>
        <w:tc>
          <w:tcPr>
            <w:tcW w:w="948" w:type="dxa"/>
            <w:noWrap/>
          </w:tcPr>
          <w:p w14:paraId="478A906C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12EDD323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2BE7A142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70222336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Chongqing</w:t>
            </w:r>
          </w:p>
        </w:tc>
        <w:tc>
          <w:tcPr>
            <w:tcW w:w="1541" w:type="dxa"/>
            <w:noWrap/>
          </w:tcPr>
          <w:p w14:paraId="68ADBE5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2077 (33.5%)</w:t>
            </w:r>
          </w:p>
        </w:tc>
        <w:tc>
          <w:tcPr>
            <w:tcW w:w="2134" w:type="dxa"/>
            <w:noWrap/>
          </w:tcPr>
          <w:p w14:paraId="6C6BBC7C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794 (37.3%)</w:t>
            </w:r>
          </w:p>
        </w:tc>
        <w:tc>
          <w:tcPr>
            <w:tcW w:w="948" w:type="dxa"/>
            <w:noWrap/>
          </w:tcPr>
          <w:p w14:paraId="7C2AD9AE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349E5B88" w14:textId="77777777" w:rsidTr="00D544AB">
        <w:trPr>
          <w:trHeight w:val="290"/>
        </w:trPr>
        <w:tc>
          <w:tcPr>
            <w:tcW w:w="1238" w:type="dxa"/>
            <w:vMerge w:val="restart"/>
            <w:noWrap/>
            <w:vAlign w:val="center"/>
          </w:tcPr>
          <w:p w14:paraId="48C9A0FC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Occupation</w:t>
            </w:r>
          </w:p>
        </w:tc>
        <w:tc>
          <w:tcPr>
            <w:tcW w:w="1916" w:type="dxa"/>
            <w:noWrap/>
            <w:vAlign w:val="center"/>
          </w:tcPr>
          <w:p w14:paraId="7A31B10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Worker</w:t>
            </w:r>
          </w:p>
        </w:tc>
        <w:tc>
          <w:tcPr>
            <w:tcW w:w="1541" w:type="dxa"/>
            <w:noWrap/>
          </w:tcPr>
          <w:p w14:paraId="5F6105F9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3816 (61.6%)</w:t>
            </w:r>
          </w:p>
        </w:tc>
        <w:tc>
          <w:tcPr>
            <w:tcW w:w="2134" w:type="dxa"/>
            <w:noWrap/>
          </w:tcPr>
          <w:p w14:paraId="282F16B9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895 (42.1%)</w:t>
            </w:r>
          </w:p>
        </w:tc>
        <w:tc>
          <w:tcPr>
            <w:tcW w:w="948" w:type="dxa"/>
            <w:noWrap/>
          </w:tcPr>
          <w:p w14:paraId="318774F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&lt;0.001</w:t>
            </w:r>
          </w:p>
        </w:tc>
      </w:tr>
      <w:tr w:rsidR="00FF350C" w14:paraId="3DDB793A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3A2A2E4C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7F3EF4CB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Student</w:t>
            </w:r>
          </w:p>
        </w:tc>
        <w:tc>
          <w:tcPr>
            <w:tcW w:w="1541" w:type="dxa"/>
            <w:noWrap/>
          </w:tcPr>
          <w:p w14:paraId="2D42121F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1340 (21.6%)</w:t>
            </w:r>
          </w:p>
        </w:tc>
        <w:tc>
          <w:tcPr>
            <w:tcW w:w="2134" w:type="dxa"/>
            <w:noWrap/>
          </w:tcPr>
          <w:p w14:paraId="5ABE0B3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573 (27.0%)</w:t>
            </w:r>
          </w:p>
        </w:tc>
        <w:tc>
          <w:tcPr>
            <w:tcW w:w="948" w:type="dxa"/>
            <w:noWrap/>
          </w:tcPr>
          <w:p w14:paraId="47C0787F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516F901D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27C67ECA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04FAC14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Intellectual</w:t>
            </w:r>
          </w:p>
        </w:tc>
        <w:tc>
          <w:tcPr>
            <w:tcW w:w="1541" w:type="dxa"/>
            <w:noWrap/>
          </w:tcPr>
          <w:p w14:paraId="22D4CB7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1038 (16.8%)</w:t>
            </w:r>
          </w:p>
        </w:tc>
        <w:tc>
          <w:tcPr>
            <w:tcW w:w="2134" w:type="dxa"/>
            <w:noWrap/>
          </w:tcPr>
          <w:p w14:paraId="588E101C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658 (31.0%)</w:t>
            </w:r>
          </w:p>
        </w:tc>
        <w:tc>
          <w:tcPr>
            <w:tcW w:w="948" w:type="dxa"/>
            <w:noWrap/>
          </w:tcPr>
          <w:p w14:paraId="5D0CDC62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67B18744" w14:textId="77777777" w:rsidTr="00D544AB">
        <w:trPr>
          <w:trHeight w:val="290"/>
        </w:trPr>
        <w:tc>
          <w:tcPr>
            <w:tcW w:w="1238" w:type="dxa"/>
            <w:vMerge w:val="restart"/>
            <w:noWrap/>
            <w:vAlign w:val="center"/>
          </w:tcPr>
          <w:p w14:paraId="3FF893AF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Education</w:t>
            </w:r>
          </w:p>
        </w:tc>
        <w:tc>
          <w:tcPr>
            <w:tcW w:w="1916" w:type="dxa"/>
            <w:noWrap/>
            <w:vAlign w:val="center"/>
          </w:tcPr>
          <w:p w14:paraId="3E4670AC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Low</w:t>
            </w:r>
          </w:p>
        </w:tc>
        <w:tc>
          <w:tcPr>
            <w:tcW w:w="1541" w:type="dxa"/>
            <w:noWrap/>
          </w:tcPr>
          <w:p w14:paraId="2F5D56FE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2181 (35.2%)</w:t>
            </w:r>
          </w:p>
        </w:tc>
        <w:tc>
          <w:tcPr>
            <w:tcW w:w="2134" w:type="dxa"/>
            <w:noWrap/>
          </w:tcPr>
          <w:p w14:paraId="2ADF2651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357 (16.8%)</w:t>
            </w:r>
          </w:p>
        </w:tc>
        <w:tc>
          <w:tcPr>
            <w:tcW w:w="948" w:type="dxa"/>
            <w:noWrap/>
          </w:tcPr>
          <w:p w14:paraId="4DCDB54F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&lt;0.001</w:t>
            </w:r>
          </w:p>
        </w:tc>
      </w:tr>
      <w:tr w:rsidR="00FF350C" w14:paraId="5A9AEB83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209F274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14B3888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Medium</w:t>
            </w:r>
          </w:p>
        </w:tc>
        <w:tc>
          <w:tcPr>
            <w:tcW w:w="1541" w:type="dxa"/>
            <w:noWrap/>
          </w:tcPr>
          <w:p w14:paraId="46891E19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1298 (21.0%)</w:t>
            </w:r>
          </w:p>
        </w:tc>
        <w:tc>
          <w:tcPr>
            <w:tcW w:w="2134" w:type="dxa"/>
            <w:noWrap/>
          </w:tcPr>
          <w:p w14:paraId="15547F60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413 (19.4%)</w:t>
            </w:r>
          </w:p>
        </w:tc>
        <w:tc>
          <w:tcPr>
            <w:tcW w:w="948" w:type="dxa"/>
            <w:noWrap/>
          </w:tcPr>
          <w:p w14:paraId="65A734A1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697F19A2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0449F76E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24A5ED96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High</w:t>
            </w:r>
          </w:p>
        </w:tc>
        <w:tc>
          <w:tcPr>
            <w:tcW w:w="1541" w:type="dxa"/>
            <w:noWrap/>
          </w:tcPr>
          <w:p w14:paraId="0C9856EE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2715 (43.8%)</w:t>
            </w:r>
          </w:p>
        </w:tc>
        <w:tc>
          <w:tcPr>
            <w:tcW w:w="2134" w:type="dxa"/>
            <w:noWrap/>
          </w:tcPr>
          <w:p w14:paraId="4B4BAE38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1356 (63.8%)</w:t>
            </w:r>
          </w:p>
        </w:tc>
        <w:tc>
          <w:tcPr>
            <w:tcW w:w="948" w:type="dxa"/>
            <w:noWrap/>
          </w:tcPr>
          <w:p w14:paraId="3167784E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13255D09" w14:textId="77777777" w:rsidTr="00D544AB">
        <w:trPr>
          <w:trHeight w:val="290"/>
        </w:trPr>
        <w:tc>
          <w:tcPr>
            <w:tcW w:w="1238" w:type="dxa"/>
            <w:vMerge w:val="restart"/>
            <w:noWrap/>
            <w:vAlign w:val="center"/>
          </w:tcPr>
          <w:p w14:paraId="4C0738C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BMI</w:t>
            </w:r>
          </w:p>
        </w:tc>
        <w:tc>
          <w:tcPr>
            <w:tcW w:w="1916" w:type="dxa"/>
            <w:noWrap/>
            <w:vAlign w:val="center"/>
          </w:tcPr>
          <w:p w14:paraId="4C1973AB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Thinness</w:t>
            </w:r>
          </w:p>
        </w:tc>
        <w:tc>
          <w:tcPr>
            <w:tcW w:w="1541" w:type="dxa"/>
            <w:noWrap/>
          </w:tcPr>
          <w:p w14:paraId="0777575E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683 (11.0%)</w:t>
            </w:r>
          </w:p>
        </w:tc>
        <w:tc>
          <w:tcPr>
            <w:tcW w:w="2134" w:type="dxa"/>
            <w:noWrap/>
          </w:tcPr>
          <w:p w14:paraId="085F6860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259 (12.2%)</w:t>
            </w:r>
          </w:p>
        </w:tc>
        <w:tc>
          <w:tcPr>
            <w:tcW w:w="948" w:type="dxa"/>
            <w:noWrap/>
          </w:tcPr>
          <w:p w14:paraId="4F33D954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&lt;0.001</w:t>
            </w:r>
          </w:p>
        </w:tc>
      </w:tr>
      <w:tr w:rsidR="00FF350C" w14:paraId="4CB4EEF1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1B6EDCDE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071BE5C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Normal</w:t>
            </w:r>
          </w:p>
        </w:tc>
        <w:tc>
          <w:tcPr>
            <w:tcW w:w="1541" w:type="dxa"/>
            <w:noWrap/>
          </w:tcPr>
          <w:p w14:paraId="544AAE7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3858 (62.3%)</w:t>
            </w:r>
          </w:p>
        </w:tc>
        <w:tc>
          <w:tcPr>
            <w:tcW w:w="2134" w:type="dxa"/>
            <w:noWrap/>
          </w:tcPr>
          <w:p w14:paraId="50136398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1389 (65.3%)</w:t>
            </w:r>
          </w:p>
        </w:tc>
        <w:tc>
          <w:tcPr>
            <w:tcW w:w="948" w:type="dxa"/>
            <w:noWrap/>
          </w:tcPr>
          <w:p w14:paraId="12E094B0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7207E218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543F6692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1F4ED2C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Overweight</w:t>
            </w:r>
          </w:p>
        </w:tc>
        <w:tc>
          <w:tcPr>
            <w:tcW w:w="1541" w:type="dxa"/>
            <w:noWrap/>
          </w:tcPr>
          <w:p w14:paraId="2DF8A05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1340 (21.6%)</w:t>
            </w:r>
          </w:p>
        </w:tc>
        <w:tc>
          <w:tcPr>
            <w:tcW w:w="2134" w:type="dxa"/>
            <w:noWrap/>
          </w:tcPr>
          <w:p w14:paraId="362BFC1A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415 (19.5%)</w:t>
            </w:r>
          </w:p>
        </w:tc>
        <w:tc>
          <w:tcPr>
            <w:tcW w:w="948" w:type="dxa"/>
            <w:noWrap/>
          </w:tcPr>
          <w:p w14:paraId="50734AC2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5CF4D5AB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3379A8F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5D538AC1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Obese</w:t>
            </w:r>
          </w:p>
        </w:tc>
        <w:tc>
          <w:tcPr>
            <w:tcW w:w="1541" w:type="dxa"/>
            <w:noWrap/>
          </w:tcPr>
          <w:p w14:paraId="68FF0074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313 (5.1%)</w:t>
            </w:r>
          </w:p>
        </w:tc>
        <w:tc>
          <w:tcPr>
            <w:tcW w:w="2134" w:type="dxa"/>
            <w:noWrap/>
          </w:tcPr>
          <w:p w14:paraId="19C1430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63 (3.0%)</w:t>
            </w:r>
          </w:p>
        </w:tc>
        <w:tc>
          <w:tcPr>
            <w:tcW w:w="948" w:type="dxa"/>
            <w:noWrap/>
          </w:tcPr>
          <w:p w14:paraId="263511B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5C8CA646" w14:textId="77777777" w:rsidTr="00D544AB">
        <w:trPr>
          <w:trHeight w:val="290"/>
        </w:trPr>
        <w:tc>
          <w:tcPr>
            <w:tcW w:w="1238" w:type="dxa"/>
            <w:vMerge w:val="restart"/>
            <w:noWrap/>
            <w:vAlign w:val="center"/>
          </w:tcPr>
          <w:p w14:paraId="37B5F290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Gender</w:t>
            </w:r>
          </w:p>
        </w:tc>
        <w:tc>
          <w:tcPr>
            <w:tcW w:w="1916" w:type="dxa"/>
            <w:noWrap/>
            <w:vAlign w:val="center"/>
          </w:tcPr>
          <w:p w14:paraId="5A27584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Male</w:t>
            </w:r>
          </w:p>
        </w:tc>
        <w:tc>
          <w:tcPr>
            <w:tcW w:w="1541" w:type="dxa"/>
            <w:noWrap/>
          </w:tcPr>
          <w:p w14:paraId="3273619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2994 (48.3%)</w:t>
            </w:r>
          </w:p>
        </w:tc>
        <w:tc>
          <w:tcPr>
            <w:tcW w:w="2134" w:type="dxa"/>
            <w:noWrap/>
          </w:tcPr>
          <w:p w14:paraId="0F736248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838 (39.4%)</w:t>
            </w:r>
          </w:p>
        </w:tc>
        <w:tc>
          <w:tcPr>
            <w:tcW w:w="948" w:type="dxa"/>
            <w:noWrap/>
          </w:tcPr>
          <w:p w14:paraId="588E0CC4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&lt;0.001</w:t>
            </w:r>
          </w:p>
        </w:tc>
      </w:tr>
      <w:tr w:rsidR="00FF350C" w14:paraId="360229D9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1AD3BAE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47B6D45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Female</w:t>
            </w:r>
          </w:p>
        </w:tc>
        <w:tc>
          <w:tcPr>
            <w:tcW w:w="1541" w:type="dxa"/>
            <w:noWrap/>
          </w:tcPr>
          <w:p w14:paraId="4BFDCB7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3200 (51.7%)</w:t>
            </w:r>
          </w:p>
        </w:tc>
        <w:tc>
          <w:tcPr>
            <w:tcW w:w="2134" w:type="dxa"/>
            <w:noWrap/>
          </w:tcPr>
          <w:p w14:paraId="6272E88C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1288 (60.6%)</w:t>
            </w:r>
          </w:p>
        </w:tc>
        <w:tc>
          <w:tcPr>
            <w:tcW w:w="948" w:type="dxa"/>
            <w:noWrap/>
          </w:tcPr>
          <w:p w14:paraId="6D5020AB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6182D4EB" w14:textId="77777777" w:rsidTr="00D544AB">
        <w:trPr>
          <w:trHeight w:val="290"/>
        </w:trPr>
        <w:tc>
          <w:tcPr>
            <w:tcW w:w="1238" w:type="dxa"/>
            <w:vMerge w:val="restart"/>
            <w:noWrap/>
            <w:vAlign w:val="center"/>
          </w:tcPr>
          <w:p w14:paraId="0C0C28B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Income</w:t>
            </w:r>
          </w:p>
        </w:tc>
        <w:tc>
          <w:tcPr>
            <w:tcW w:w="1916" w:type="dxa"/>
            <w:noWrap/>
            <w:vAlign w:val="center"/>
          </w:tcPr>
          <w:p w14:paraId="49821DB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5000 below</w:t>
            </w:r>
          </w:p>
        </w:tc>
        <w:tc>
          <w:tcPr>
            <w:tcW w:w="1541" w:type="dxa"/>
            <w:noWrap/>
          </w:tcPr>
          <w:p w14:paraId="1FBAC249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2696 (43.5%)</w:t>
            </w:r>
          </w:p>
        </w:tc>
        <w:tc>
          <w:tcPr>
            <w:tcW w:w="2134" w:type="dxa"/>
            <w:noWrap/>
          </w:tcPr>
          <w:p w14:paraId="5ABC24F6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706 (33.2%)</w:t>
            </w:r>
          </w:p>
        </w:tc>
        <w:tc>
          <w:tcPr>
            <w:tcW w:w="948" w:type="dxa"/>
            <w:noWrap/>
          </w:tcPr>
          <w:p w14:paraId="7EE2E54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&lt;0.001</w:t>
            </w:r>
          </w:p>
        </w:tc>
      </w:tr>
      <w:tr w:rsidR="00FF350C" w14:paraId="65BAD51A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732F2C96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73CE61F0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5000-9999</w:t>
            </w:r>
          </w:p>
        </w:tc>
        <w:tc>
          <w:tcPr>
            <w:tcW w:w="1541" w:type="dxa"/>
            <w:noWrap/>
          </w:tcPr>
          <w:p w14:paraId="4F90204F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1872 (30.2%)</w:t>
            </w:r>
          </w:p>
        </w:tc>
        <w:tc>
          <w:tcPr>
            <w:tcW w:w="2134" w:type="dxa"/>
            <w:noWrap/>
          </w:tcPr>
          <w:p w14:paraId="673454BB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751 (35.3%)</w:t>
            </w:r>
          </w:p>
        </w:tc>
        <w:tc>
          <w:tcPr>
            <w:tcW w:w="948" w:type="dxa"/>
            <w:noWrap/>
          </w:tcPr>
          <w:p w14:paraId="5DA38890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0434FFD7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4B8E29A6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27E0B20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10000-19999</w:t>
            </w:r>
          </w:p>
        </w:tc>
        <w:tc>
          <w:tcPr>
            <w:tcW w:w="1541" w:type="dxa"/>
            <w:noWrap/>
          </w:tcPr>
          <w:p w14:paraId="721A7F8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1131 (18.3%)</w:t>
            </w:r>
          </w:p>
        </w:tc>
        <w:tc>
          <w:tcPr>
            <w:tcW w:w="2134" w:type="dxa"/>
            <w:noWrap/>
          </w:tcPr>
          <w:p w14:paraId="7D9B0E5E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458 (21.5%)</w:t>
            </w:r>
          </w:p>
        </w:tc>
        <w:tc>
          <w:tcPr>
            <w:tcW w:w="948" w:type="dxa"/>
            <w:noWrap/>
          </w:tcPr>
          <w:p w14:paraId="4083327F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714C25A4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00479C72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564983E0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20000above</w:t>
            </w:r>
          </w:p>
        </w:tc>
        <w:tc>
          <w:tcPr>
            <w:tcW w:w="1541" w:type="dxa"/>
            <w:noWrap/>
          </w:tcPr>
          <w:p w14:paraId="5D5506A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495 (8.0%)</w:t>
            </w:r>
          </w:p>
        </w:tc>
        <w:tc>
          <w:tcPr>
            <w:tcW w:w="2134" w:type="dxa"/>
            <w:noWrap/>
          </w:tcPr>
          <w:p w14:paraId="21EC7069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211 (9.9%)</w:t>
            </w:r>
          </w:p>
        </w:tc>
        <w:tc>
          <w:tcPr>
            <w:tcW w:w="948" w:type="dxa"/>
            <w:noWrap/>
          </w:tcPr>
          <w:p w14:paraId="06A133C8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5124474A" w14:textId="77777777" w:rsidTr="00D544AB">
        <w:trPr>
          <w:trHeight w:val="290"/>
        </w:trPr>
        <w:tc>
          <w:tcPr>
            <w:tcW w:w="1238" w:type="dxa"/>
            <w:vMerge w:val="restart"/>
            <w:noWrap/>
            <w:vAlign w:val="center"/>
          </w:tcPr>
          <w:p w14:paraId="114D084E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Ethnicity</w:t>
            </w:r>
          </w:p>
        </w:tc>
        <w:tc>
          <w:tcPr>
            <w:tcW w:w="1916" w:type="dxa"/>
            <w:noWrap/>
            <w:vAlign w:val="center"/>
          </w:tcPr>
          <w:p w14:paraId="53445866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Han</w:t>
            </w:r>
          </w:p>
        </w:tc>
        <w:tc>
          <w:tcPr>
            <w:tcW w:w="1541" w:type="dxa"/>
            <w:noWrap/>
          </w:tcPr>
          <w:p w14:paraId="0000268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5482 (88.5%)</w:t>
            </w:r>
          </w:p>
        </w:tc>
        <w:tc>
          <w:tcPr>
            <w:tcW w:w="2134" w:type="dxa"/>
            <w:noWrap/>
          </w:tcPr>
          <w:p w14:paraId="20D220D2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1889 (88.9%)</w:t>
            </w:r>
          </w:p>
        </w:tc>
        <w:tc>
          <w:tcPr>
            <w:tcW w:w="948" w:type="dxa"/>
            <w:noWrap/>
          </w:tcPr>
          <w:p w14:paraId="3841D8BB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0.660</w:t>
            </w:r>
          </w:p>
        </w:tc>
      </w:tr>
      <w:tr w:rsidR="00FF350C" w14:paraId="2D4C12B2" w14:textId="77777777" w:rsidTr="00D544AB">
        <w:trPr>
          <w:trHeight w:val="290"/>
        </w:trPr>
        <w:tc>
          <w:tcPr>
            <w:tcW w:w="1238" w:type="dxa"/>
            <w:vMerge/>
            <w:noWrap/>
            <w:vAlign w:val="center"/>
          </w:tcPr>
          <w:p w14:paraId="77CFB50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7661A56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Other</w:t>
            </w:r>
          </w:p>
        </w:tc>
        <w:tc>
          <w:tcPr>
            <w:tcW w:w="1541" w:type="dxa"/>
            <w:noWrap/>
          </w:tcPr>
          <w:p w14:paraId="1B12B5F0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712 (11.5%)</w:t>
            </w:r>
          </w:p>
        </w:tc>
        <w:tc>
          <w:tcPr>
            <w:tcW w:w="2134" w:type="dxa"/>
            <w:noWrap/>
          </w:tcPr>
          <w:p w14:paraId="37DA6C1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237 (11.1%)</w:t>
            </w:r>
          </w:p>
        </w:tc>
        <w:tc>
          <w:tcPr>
            <w:tcW w:w="948" w:type="dxa"/>
            <w:noWrap/>
          </w:tcPr>
          <w:p w14:paraId="517269A7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6F874D1F" w14:textId="77777777" w:rsidTr="00D544AB">
        <w:trPr>
          <w:trHeight w:val="290"/>
        </w:trPr>
        <w:tc>
          <w:tcPr>
            <w:tcW w:w="1238" w:type="dxa"/>
            <w:vMerge w:val="restart"/>
            <w:noWrap/>
            <w:vAlign w:val="center"/>
          </w:tcPr>
          <w:p w14:paraId="5A76072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Age</w:t>
            </w:r>
          </w:p>
        </w:tc>
        <w:tc>
          <w:tcPr>
            <w:tcW w:w="1916" w:type="dxa"/>
            <w:noWrap/>
            <w:vAlign w:val="center"/>
          </w:tcPr>
          <w:p w14:paraId="7CFCA6B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Youth</w:t>
            </w:r>
          </w:p>
        </w:tc>
        <w:tc>
          <w:tcPr>
            <w:tcW w:w="1541" w:type="dxa"/>
            <w:noWrap/>
          </w:tcPr>
          <w:p w14:paraId="03940AD5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3927 (63.6%)</w:t>
            </w:r>
          </w:p>
        </w:tc>
        <w:tc>
          <w:tcPr>
            <w:tcW w:w="2134" w:type="dxa"/>
            <w:noWrap/>
          </w:tcPr>
          <w:p w14:paraId="61702CC6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1384 (65.3%)</w:t>
            </w:r>
          </w:p>
        </w:tc>
        <w:tc>
          <w:tcPr>
            <w:tcW w:w="948" w:type="dxa"/>
            <w:noWrap/>
          </w:tcPr>
          <w:p w14:paraId="277285E4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&lt;0.001</w:t>
            </w:r>
          </w:p>
        </w:tc>
      </w:tr>
      <w:tr w:rsidR="00FF350C" w14:paraId="58CB981E" w14:textId="77777777" w:rsidTr="00D544AB">
        <w:trPr>
          <w:trHeight w:val="290"/>
        </w:trPr>
        <w:tc>
          <w:tcPr>
            <w:tcW w:w="1238" w:type="dxa"/>
            <w:vMerge/>
            <w:noWrap/>
          </w:tcPr>
          <w:p w14:paraId="34A6A189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noWrap/>
            <w:vAlign w:val="center"/>
          </w:tcPr>
          <w:p w14:paraId="778FE799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Middle aged</w:t>
            </w:r>
          </w:p>
        </w:tc>
        <w:tc>
          <w:tcPr>
            <w:tcW w:w="1541" w:type="dxa"/>
            <w:noWrap/>
          </w:tcPr>
          <w:p w14:paraId="66B4C8D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1877 (30.4%)</w:t>
            </w:r>
          </w:p>
        </w:tc>
        <w:tc>
          <w:tcPr>
            <w:tcW w:w="2134" w:type="dxa"/>
            <w:noWrap/>
          </w:tcPr>
          <w:p w14:paraId="40892463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655 (30.9%)</w:t>
            </w:r>
          </w:p>
        </w:tc>
        <w:tc>
          <w:tcPr>
            <w:tcW w:w="948" w:type="dxa"/>
            <w:noWrap/>
          </w:tcPr>
          <w:p w14:paraId="6845CCB8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  <w:tr w:rsidR="00FF350C" w14:paraId="14EC04F0" w14:textId="77777777" w:rsidTr="00D544AB">
        <w:trPr>
          <w:trHeight w:val="290"/>
        </w:trPr>
        <w:tc>
          <w:tcPr>
            <w:tcW w:w="1238" w:type="dxa"/>
            <w:vMerge/>
            <w:tcBorders>
              <w:bottom w:val="single" w:sz="12" w:space="0" w:color="auto"/>
            </w:tcBorders>
            <w:noWrap/>
          </w:tcPr>
          <w:p w14:paraId="1597989C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  <w:tc>
          <w:tcPr>
            <w:tcW w:w="1916" w:type="dxa"/>
            <w:tcBorders>
              <w:bottom w:val="single" w:sz="12" w:space="0" w:color="auto"/>
            </w:tcBorders>
            <w:noWrap/>
            <w:vAlign w:val="center"/>
          </w:tcPr>
          <w:p w14:paraId="73C646C0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Elderly</w:t>
            </w:r>
          </w:p>
        </w:tc>
        <w:tc>
          <w:tcPr>
            <w:tcW w:w="1541" w:type="dxa"/>
            <w:tcBorders>
              <w:bottom w:val="single" w:sz="12" w:space="0" w:color="auto"/>
            </w:tcBorders>
            <w:noWrap/>
          </w:tcPr>
          <w:p w14:paraId="189528CA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375 (6.1%)</w:t>
            </w:r>
          </w:p>
        </w:tc>
        <w:tc>
          <w:tcPr>
            <w:tcW w:w="2134" w:type="dxa"/>
            <w:tcBorders>
              <w:bottom w:val="single" w:sz="12" w:space="0" w:color="auto"/>
            </w:tcBorders>
            <w:noWrap/>
          </w:tcPr>
          <w:p w14:paraId="2D4A9CBC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lang w:bidi="ar"/>
              </w:rPr>
              <w:t>82 (3.9%)</w:t>
            </w:r>
          </w:p>
        </w:tc>
        <w:tc>
          <w:tcPr>
            <w:tcW w:w="948" w:type="dxa"/>
            <w:tcBorders>
              <w:bottom w:val="single" w:sz="12" w:space="0" w:color="auto"/>
            </w:tcBorders>
            <w:noWrap/>
          </w:tcPr>
          <w:p w14:paraId="226B997D" w14:textId="77777777" w:rsidR="00FF350C" w:rsidRDefault="00FF350C" w:rsidP="00D544A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lang w:bidi="ar"/>
              </w:rPr>
            </w:pPr>
          </w:p>
        </w:tc>
      </w:tr>
    </w:tbl>
    <w:p w14:paraId="3D862B54" w14:textId="77777777" w:rsidR="00FF350C" w:rsidRDefault="00FF350C" w:rsidP="00FF350C">
      <w:pPr>
        <w:widowControl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Chi-square tests were conducted to show the differences in awareness of CDGs between sociodemographic factors.</w:t>
      </w:r>
    </w:p>
    <w:p w14:paraId="5F38FB92" w14:textId="77777777" w:rsidR="00FF350C" w:rsidRDefault="00FF350C" w:rsidP="00FF35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Data are presented as n (%) for categorical measures.</w:t>
      </w:r>
    </w:p>
    <w:p w14:paraId="0AD7AEC0" w14:textId="77777777" w:rsidR="005732C4" w:rsidRPr="00FF350C" w:rsidRDefault="005732C4"/>
    <w:sectPr w:rsidR="005732C4" w:rsidRPr="00FF35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C4"/>
    <w:rsid w:val="005732C4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00F3"/>
  <w15:chartTrackingRefBased/>
  <w15:docId w15:val="{3B7F0681-6438-48C9-9D22-A52812B8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F350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8DA3-ED0A-49F9-AAE8-729C75A3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ke</dc:creator>
  <cp:keywords/>
  <dc:description/>
  <cp:lastModifiedBy>jiang ke</cp:lastModifiedBy>
  <cp:revision>2</cp:revision>
  <dcterms:created xsi:type="dcterms:W3CDTF">2022-11-27T13:54:00Z</dcterms:created>
  <dcterms:modified xsi:type="dcterms:W3CDTF">2022-11-27T13:57:00Z</dcterms:modified>
</cp:coreProperties>
</file>