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D777" w14:textId="5926022A" w:rsidR="00571DA3" w:rsidRPr="00861B2C" w:rsidRDefault="00571DA3" w:rsidP="00571DA3">
      <w:pPr>
        <w:pStyle w:val="Heading2"/>
        <w:spacing w:before="0" w:after="120" w:line="240" w:lineRule="auto"/>
        <w:rPr>
          <w:rFonts w:ascii="Times New Roman" w:hAnsi="Times New Roman" w:cs="Times New Roman"/>
          <w:szCs w:val="24"/>
          <w:lang w:val="en-US"/>
        </w:rPr>
      </w:pPr>
      <w:r>
        <w:rPr>
          <w:rFonts w:ascii="Times New Roman" w:hAnsi="Times New Roman" w:cs="Times New Roman"/>
          <w:szCs w:val="24"/>
          <w:lang w:val="en-US"/>
        </w:rPr>
        <w:t xml:space="preserve">Supplementary Material </w:t>
      </w:r>
      <w:r w:rsidR="008D28BB">
        <w:rPr>
          <w:rFonts w:ascii="Times New Roman" w:hAnsi="Times New Roman" w:cs="Times New Roman"/>
          <w:szCs w:val="24"/>
          <w:lang w:val="en-US"/>
        </w:rPr>
        <w:t>1</w:t>
      </w:r>
    </w:p>
    <w:p w14:paraId="0EB7D669" w14:textId="77777777" w:rsidR="001A5ED6" w:rsidRDefault="001A5ED6" w:rsidP="001A5ED6">
      <w:pPr>
        <w:pStyle w:val="NormalWeb"/>
        <w:spacing w:before="0" w:beforeAutospacing="0" w:after="120" w:afterAutospacing="0"/>
        <w:rPr>
          <w:lang w:val="en-US"/>
        </w:rPr>
      </w:pPr>
      <w:bookmarkStart w:id="0" w:name="_Toc108193210"/>
      <w:bookmarkStart w:id="1" w:name="_Toc108193286"/>
      <w:r>
        <w:rPr>
          <w:lang w:val="en-US"/>
        </w:rPr>
        <w:t>Question Groups</w:t>
      </w:r>
    </w:p>
    <w:p w14:paraId="039F3B6F" w14:textId="77777777" w:rsidR="001A5ED6" w:rsidRDefault="001A5ED6" w:rsidP="00571DA3">
      <w:pPr>
        <w:pStyle w:val="Caption"/>
        <w:keepNext/>
      </w:pPr>
    </w:p>
    <w:p w14:paraId="3E3BE3D8" w14:textId="421D930D" w:rsidR="00571DA3" w:rsidRDefault="00571DA3" w:rsidP="00571DA3">
      <w:pPr>
        <w:pStyle w:val="Caption"/>
        <w:keepNext/>
      </w:pPr>
      <w:r w:rsidRPr="00D65533">
        <w:t>GCF hubs (description and question groups)</w:t>
      </w:r>
      <w:bookmarkEnd w:id="0"/>
      <w:bookmarkEnd w:id="1"/>
    </w:p>
    <w:tbl>
      <w:tblPr>
        <w:tblW w:w="9736" w:type="dxa"/>
        <w:tblLayout w:type="fixed"/>
        <w:tblLook w:val="0400" w:firstRow="0" w:lastRow="0" w:firstColumn="0" w:lastColumn="0" w:noHBand="0" w:noVBand="1"/>
      </w:tblPr>
      <w:tblGrid>
        <w:gridCol w:w="1843"/>
        <w:gridCol w:w="2126"/>
        <w:gridCol w:w="5767"/>
      </w:tblGrid>
      <w:tr w:rsidR="00571DA3" w14:paraId="641F3C87" w14:textId="77777777" w:rsidTr="006C6F47">
        <w:trPr>
          <w:trHeight w:val="339"/>
        </w:trPr>
        <w:tc>
          <w:tcPr>
            <w:tcW w:w="1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AA0B9CD" w14:textId="77777777" w:rsidR="00571DA3" w:rsidRDefault="00571DA3" w:rsidP="006C6F47">
            <w:pPr>
              <w:spacing w:before="240"/>
              <w:rPr>
                <w:b/>
                <w:color w:val="000000"/>
              </w:rPr>
            </w:pPr>
            <w:r>
              <w:rPr>
                <w:b/>
                <w:color w:val="000000"/>
              </w:rPr>
              <w:t>GCF Hub/concept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4A944" w14:textId="77777777" w:rsidR="00571DA3" w:rsidRDefault="00571DA3" w:rsidP="006C6F47">
            <w:pPr>
              <w:spacing w:before="240"/>
              <w:rPr>
                <w:rFonts w:ascii="Times New Roman" w:eastAsia="Times New Roman" w:hAnsi="Times New Roman" w:cs="Times New Roman"/>
                <w:sz w:val="24"/>
                <w:szCs w:val="24"/>
              </w:rPr>
            </w:pPr>
            <w:r>
              <w:rPr>
                <w:b/>
                <w:color w:val="000000"/>
              </w:rPr>
              <w:t>Description</w:t>
            </w:r>
          </w:p>
        </w:tc>
        <w:tc>
          <w:tcPr>
            <w:tcW w:w="5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E6D99" w14:textId="77777777" w:rsidR="00571DA3" w:rsidRDefault="00571DA3" w:rsidP="006C6F47">
            <w:pPr>
              <w:spacing w:before="240"/>
              <w:rPr>
                <w:rFonts w:ascii="Times New Roman" w:eastAsia="Times New Roman" w:hAnsi="Times New Roman" w:cs="Times New Roman"/>
                <w:sz w:val="24"/>
                <w:szCs w:val="24"/>
              </w:rPr>
            </w:pPr>
            <w:r>
              <w:rPr>
                <w:b/>
                <w:color w:val="000000"/>
              </w:rPr>
              <w:t>Question Groups</w:t>
            </w:r>
          </w:p>
        </w:tc>
      </w:tr>
      <w:tr w:rsidR="00571DA3" w14:paraId="58CF05AA" w14:textId="77777777" w:rsidTr="006C6F47">
        <w:trPr>
          <w:trHeight w:val="2714"/>
        </w:trPr>
        <w:tc>
          <w:tcPr>
            <w:tcW w:w="1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61FEDB" w14:textId="77777777" w:rsidR="00571DA3" w:rsidRDefault="00571DA3" w:rsidP="006C6F47">
            <w:pPr>
              <w:spacing w:before="33"/>
              <w:rPr>
                <w:rFonts w:ascii="Times New Roman" w:eastAsia="Times New Roman" w:hAnsi="Times New Roman" w:cs="Times New Roman"/>
              </w:rPr>
            </w:pPr>
            <w:r>
              <w:rPr>
                <w:b/>
                <w:color w:val="000000"/>
              </w:rPr>
              <w:t>ENTITLEMENT</w:t>
            </w:r>
          </w:p>
          <w:p w14:paraId="537ADC0B" w14:textId="77777777" w:rsidR="00571DA3" w:rsidRDefault="00571DA3" w:rsidP="006C6F47">
            <w:pPr>
              <w:spacing w:before="33"/>
              <w:rPr>
                <w:color w:val="000000"/>
              </w:rPr>
            </w:pPr>
            <w:r>
              <w:rPr>
                <w:color w:val="000000"/>
              </w:rPr>
              <w:t>to vaccination</w:t>
            </w:r>
          </w:p>
          <w:p w14:paraId="2B586C96" w14:textId="77777777" w:rsidR="00571DA3" w:rsidRDefault="00571DA3" w:rsidP="006C6F47">
            <w:pPr>
              <w:spacing w:before="33"/>
              <w:rPr>
                <w:color w:val="000000"/>
              </w:rPr>
            </w:pPr>
          </w:p>
          <w:p w14:paraId="7A4A811E" w14:textId="77777777" w:rsidR="00571DA3" w:rsidRDefault="00571DA3" w:rsidP="006C6F47">
            <w:pPr>
              <w:spacing w:before="33"/>
              <w:rPr>
                <w:rFonts w:ascii="Times New Roman" w:eastAsia="Times New Roman" w:hAnsi="Times New Roman" w:cs="Times New Roman"/>
              </w:rPr>
            </w:pPr>
            <w:r>
              <w:rPr>
                <w:b/>
                <w:color w:val="000000"/>
              </w:rPr>
              <w:t xml:space="preserve">WHAT </w:t>
            </w:r>
            <w:r>
              <w:rPr>
                <w:color w:val="000000"/>
              </w:rPr>
              <w:t xml:space="preserve">rights for vaccination to </w:t>
            </w:r>
            <w:r>
              <w:rPr>
                <w:b/>
                <w:color w:val="000000"/>
              </w:rPr>
              <w:t>WHOM?</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858CF" w14:textId="77777777" w:rsidR="00571DA3" w:rsidRDefault="00571DA3" w:rsidP="006C6F47">
            <w:pPr>
              <w:spacing w:before="33"/>
              <w:rPr>
                <w:rFonts w:ascii="Times New Roman" w:eastAsia="Times New Roman" w:hAnsi="Times New Roman" w:cs="Times New Roman"/>
                <w:sz w:val="16"/>
                <w:szCs w:val="16"/>
              </w:rPr>
            </w:pPr>
            <w:r>
              <w:rPr>
                <w:color w:val="000000"/>
                <w:sz w:val="16"/>
                <w:szCs w:val="16"/>
              </w:rPr>
              <w:t>This hub concerns the regulatory planning of the vaccination offer.</w:t>
            </w:r>
          </w:p>
          <w:p w14:paraId="4D83A8E2" w14:textId="77777777" w:rsidR="00571DA3" w:rsidRDefault="00571DA3" w:rsidP="006C6F47">
            <w:pPr>
              <w:spacing w:before="33"/>
              <w:rPr>
                <w:rFonts w:ascii="Times New Roman" w:eastAsia="Times New Roman" w:hAnsi="Times New Roman" w:cs="Times New Roman"/>
                <w:sz w:val="16"/>
                <w:szCs w:val="16"/>
              </w:rPr>
            </w:pPr>
          </w:p>
          <w:p w14:paraId="4EF2BBF8" w14:textId="77777777" w:rsidR="00571DA3" w:rsidRDefault="00571DA3" w:rsidP="006C6F47">
            <w:pPr>
              <w:spacing w:before="33"/>
              <w:rPr>
                <w:rFonts w:ascii="Times New Roman" w:eastAsia="Times New Roman" w:hAnsi="Times New Roman" w:cs="Times New Roman"/>
                <w:sz w:val="24"/>
                <w:szCs w:val="24"/>
              </w:rPr>
            </w:pPr>
            <w:r>
              <w:rPr>
                <w:b/>
                <w:color w:val="000000"/>
                <w:sz w:val="16"/>
                <w:szCs w:val="16"/>
              </w:rPr>
              <w:t>If there is NO entitlement the process CANNOT start.</w:t>
            </w:r>
          </w:p>
        </w:tc>
        <w:tc>
          <w:tcPr>
            <w:tcW w:w="5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1F913"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Legal barriers/solutions</w:t>
            </w:r>
          </w:p>
          <w:p w14:paraId="1F5D41E5"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Is there a national vaccination plan?</w:t>
            </w:r>
          </w:p>
          <w:p w14:paraId="57B5A88F" w14:textId="77777777" w:rsidR="00571DA3" w:rsidRDefault="00571DA3" w:rsidP="006C6F47">
            <w:pPr>
              <w:numPr>
                <w:ilvl w:val="1"/>
                <w:numId w:val="1"/>
              </w:numPr>
              <w:spacing w:before="33" w:after="0" w:line="240" w:lineRule="auto"/>
              <w:rPr>
                <w:color w:val="000000"/>
                <w:sz w:val="14"/>
                <w:szCs w:val="14"/>
              </w:rPr>
            </w:pPr>
            <w:r>
              <w:rPr>
                <w:color w:val="000000"/>
                <w:sz w:val="14"/>
                <w:szCs w:val="14"/>
              </w:rPr>
              <w:t>If so, does this plan consider NAMs?</w:t>
            </w:r>
          </w:p>
          <w:p w14:paraId="6F1062E4" w14:textId="77777777" w:rsidR="00571DA3" w:rsidRDefault="00571DA3" w:rsidP="006C6F47">
            <w:pPr>
              <w:numPr>
                <w:ilvl w:val="1"/>
                <w:numId w:val="1"/>
              </w:numPr>
              <w:spacing w:before="33" w:after="0" w:line="240" w:lineRule="auto"/>
              <w:rPr>
                <w:color w:val="000000"/>
                <w:sz w:val="14"/>
                <w:szCs w:val="14"/>
              </w:rPr>
            </w:pPr>
            <w:r>
              <w:rPr>
                <w:color w:val="000000"/>
                <w:sz w:val="14"/>
                <w:szCs w:val="14"/>
              </w:rPr>
              <w:t>If so, which categories of NAMs are covered?</w:t>
            </w:r>
          </w:p>
          <w:p w14:paraId="62AEC913" w14:textId="77777777" w:rsidR="00571DA3" w:rsidRDefault="00571DA3" w:rsidP="006C6F47">
            <w:pPr>
              <w:numPr>
                <w:ilvl w:val="1"/>
                <w:numId w:val="1"/>
              </w:numPr>
              <w:spacing w:before="33" w:after="0" w:line="240" w:lineRule="auto"/>
              <w:rPr>
                <w:color w:val="000000"/>
                <w:sz w:val="14"/>
                <w:szCs w:val="14"/>
              </w:rPr>
            </w:pPr>
            <w:r>
              <w:rPr>
                <w:color w:val="000000"/>
                <w:sz w:val="14"/>
                <w:szCs w:val="14"/>
              </w:rPr>
              <w:t>If not, are there other documents considering NAM vaccination?</w:t>
            </w:r>
          </w:p>
          <w:p w14:paraId="6664CEAB"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Are NAMS entitled to vaccinations?</w:t>
            </w:r>
          </w:p>
          <w:p w14:paraId="44595E1F" w14:textId="77777777" w:rsidR="00571DA3" w:rsidRDefault="00571DA3" w:rsidP="006C6F47">
            <w:pPr>
              <w:numPr>
                <w:ilvl w:val="1"/>
                <w:numId w:val="1"/>
              </w:numPr>
              <w:spacing w:before="33" w:after="0" w:line="240" w:lineRule="auto"/>
              <w:rPr>
                <w:color w:val="000000"/>
                <w:sz w:val="14"/>
                <w:szCs w:val="14"/>
              </w:rPr>
            </w:pPr>
            <w:r>
              <w:rPr>
                <w:color w:val="000000"/>
                <w:sz w:val="14"/>
                <w:szCs w:val="14"/>
              </w:rPr>
              <w:t>What are the differences between the different categories of NAMs regarding vaccination entitlement?</w:t>
            </w:r>
          </w:p>
          <w:p w14:paraId="337CA999" w14:textId="77777777" w:rsidR="00571DA3" w:rsidRDefault="00571DA3" w:rsidP="006C6F47">
            <w:pPr>
              <w:numPr>
                <w:ilvl w:val="1"/>
                <w:numId w:val="1"/>
              </w:numPr>
              <w:spacing w:before="33" w:after="0" w:line="240" w:lineRule="auto"/>
              <w:rPr>
                <w:color w:val="000000"/>
                <w:sz w:val="14"/>
                <w:szCs w:val="14"/>
              </w:rPr>
            </w:pPr>
            <w:r>
              <w:rPr>
                <w:color w:val="000000"/>
                <w:sz w:val="14"/>
                <w:szCs w:val="14"/>
              </w:rPr>
              <w:t>Are there any differences with respect to the local population when it comes to entitlement to vaccination?</w:t>
            </w:r>
          </w:p>
          <w:p w14:paraId="5083205B" w14:textId="77777777" w:rsidR="00571DA3" w:rsidRDefault="00571DA3" w:rsidP="006C6F47">
            <w:pPr>
              <w:spacing w:before="33"/>
              <w:rPr>
                <w:b/>
                <w:color w:val="000000"/>
                <w:sz w:val="14"/>
                <w:szCs w:val="14"/>
              </w:rPr>
            </w:pPr>
          </w:p>
          <w:p w14:paraId="517D31BA"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Economic barriers / solutions</w:t>
            </w:r>
          </w:p>
          <w:p w14:paraId="4AE99146"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Does the Health System require the full payment of vaccinations by NAMs?</w:t>
            </w:r>
          </w:p>
          <w:p w14:paraId="7D770910" w14:textId="77777777" w:rsidR="00571DA3" w:rsidRDefault="00571DA3" w:rsidP="006C6F47">
            <w:pPr>
              <w:numPr>
                <w:ilvl w:val="1"/>
                <w:numId w:val="1"/>
              </w:numPr>
              <w:spacing w:before="33" w:after="0" w:line="240" w:lineRule="auto"/>
              <w:rPr>
                <w:color w:val="000000"/>
                <w:sz w:val="14"/>
                <w:szCs w:val="14"/>
              </w:rPr>
            </w:pPr>
            <w:r>
              <w:rPr>
                <w:color w:val="000000"/>
                <w:sz w:val="14"/>
                <w:szCs w:val="14"/>
              </w:rPr>
              <w:t>Are there any differences between the different categories of NAMS regarding payment of vaccination?</w:t>
            </w:r>
          </w:p>
          <w:p w14:paraId="5AA39476"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Does the Health System require a co-payment fee for NAMs vaccinations?</w:t>
            </w:r>
          </w:p>
          <w:p w14:paraId="50835134" w14:textId="77777777" w:rsidR="00571DA3" w:rsidRDefault="00571DA3" w:rsidP="006C6F47">
            <w:pPr>
              <w:numPr>
                <w:ilvl w:val="1"/>
                <w:numId w:val="1"/>
              </w:numPr>
              <w:spacing w:before="33" w:after="0" w:line="240" w:lineRule="auto"/>
              <w:rPr>
                <w:rFonts w:ascii="Times New Roman" w:eastAsia="Times New Roman" w:hAnsi="Times New Roman" w:cs="Times New Roman"/>
                <w:sz w:val="14"/>
                <w:szCs w:val="14"/>
              </w:rPr>
            </w:pPr>
            <w:r>
              <w:rPr>
                <w:color w:val="000000"/>
                <w:sz w:val="14"/>
                <w:szCs w:val="14"/>
              </w:rPr>
              <w:t>Are there any differences between the different categories of NAMs regarding vaccination co-payment fees?</w:t>
            </w:r>
          </w:p>
        </w:tc>
      </w:tr>
      <w:tr w:rsidR="00571DA3" w14:paraId="522B1E5D" w14:textId="77777777" w:rsidTr="006C6F47">
        <w:trPr>
          <w:trHeight w:val="3231"/>
        </w:trPr>
        <w:tc>
          <w:tcPr>
            <w:tcW w:w="1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919396E" w14:textId="77777777" w:rsidR="00571DA3" w:rsidRDefault="00571DA3" w:rsidP="006C6F47">
            <w:pPr>
              <w:spacing w:before="33"/>
              <w:rPr>
                <w:rFonts w:ascii="Times New Roman" w:eastAsia="Times New Roman" w:hAnsi="Times New Roman" w:cs="Times New Roman"/>
                <w:sz w:val="24"/>
                <w:szCs w:val="24"/>
              </w:rPr>
            </w:pPr>
            <w:r>
              <w:rPr>
                <w:b/>
                <w:color w:val="000000"/>
              </w:rPr>
              <w:t>REACHABILITY</w:t>
            </w:r>
          </w:p>
          <w:p w14:paraId="77BCEF4C" w14:textId="77777777" w:rsidR="00571DA3" w:rsidRDefault="00571DA3" w:rsidP="006C6F47">
            <w:pPr>
              <w:spacing w:before="33"/>
              <w:rPr>
                <w:rFonts w:ascii="Times New Roman" w:eastAsia="Times New Roman" w:hAnsi="Times New Roman" w:cs="Times New Roman"/>
                <w:sz w:val="24"/>
                <w:szCs w:val="24"/>
              </w:rPr>
            </w:pPr>
            <w:r>
              <w:rPr>
                <w:color w:val="000000"/>
              </w:rPr>
              <w:t>of people to be vaccinated</w:t>
            </w:r>
          </w:p>
          <w:p w14:paraId="26353B9C" w14:textId="77777777" w:rsidR="00571DA3" w:rsidRDefault="00571DA3" w:rsidP="006C6F47">
            <w:pPr>
              <w:spacing w:before="33"/>
              <w:rPr>
                <w:b/>
                <w:color w:val="000000"/>
              </w:rPr>
            </w:pPr>
          </w:p>
          <w:p w14:paraId="633C9308" w14:textId="77777777" w:rsidR="00571DA3" w:rsidRDefault="00571DA3" w:rsidP="006C6F47">
            <w:pPr>
              <w:spacing w:before="33"/>
              <w:rPr>
                <w:rFonts w:ascii="Times New Roman" w:eastAsia="Times New Roman" w:hAnsi="Times New Roman" w:cs="Times New Roman"/>
                <w:sz w:val="24"/>
                <w:szCs w:val="24"/>
              </w:rPr>
            </w:pPr>
            <w:r>
              <w:rPr>
                <w:b/>
                <w:color w:val="000000"/>
              </w:rPr>
              <w:t>HOW</w:t>
            </w:r>
            <w:r>
              <w:rPr>
                <w:color w:val="000000"/>
              </w:rPr>
              <w:t xml:space="preserve"> (the health service gets in contact with) </w:t>
            </w:r>
            <w:r>
              <w:rPr>
                <w:b/>
                <w:color w:val="000000"/>
              </w:rPr>
              <w:t>to</w:t>
            </w:r>
            <w:r>
              <w:rPr>
                <w:color w:val="000000"/>
              </w:rPr>
              <w:t xml:space="preserve"> </w:t>
            </w:r>
            <w:r>
              <w:rPr>
                <w:b/>
                <w:color w:val="000000"/>
              </w:rPr>
              <w:t>WHOM</w:t>
            </w:r>
            <w:r>
              <w:rPr>
                <w:color w:val="000000"/>
              </w:rPr>
              <w:t xml:space="preserve"> (NAMs)?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17F10" w14:textId="77777777" w:rsidR="00571DA3" w:rsidRDefault="00571DA3" w:rsidP="006C6F47">
            <w:pPr>
              <w:spacing w:before="33"/>
              <w:rPr>
                <w:rFonts w:ascii="Times New Roman" w:eastAsia="Times New Roman" w:hAnsi="Times New Roman" w:cs="Times New Roman"/>
                <w:sz w:val="24"/>
                <w:szCs w:val="24"/>
              </w:rPr>
            </w:pPr>
            <w:r>
              <w:rPr>
                <w:color w:val="000000"/>
                <w:sz w:val="16"/>
                <w:szCs w:val="16"/>
              </w:rPr>
              <w:t xml:space="preserve">This concept regards all strategies, including the ‘proximity approach’, and abilities of the health service to get in contact with NAMs </w:t>
            </w:r>
          </w:p>
        </w:tc>
        <w:tc>
          <w:tcPr>
            <w:tcW w:w="5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44487"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Organizational barriers / solutions</w:t>
            </w:r>
          </w:p>
          <w:p w14:paraId="2855E655"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Where are NAMs staying (centres, camps, community)?</w:t>
            </w:r>
          </w:p>
          <w:p w14:paraId="027204F4" w14:textId="77777777" w:rsidR="00571DA3" w:rsidRDefault="00571DA3" w:rsidP="006C6F47">
            <w:pPr>
              <w:numPr>
                <w:ilvl w:val="0"/>
                <w:numId w:val="2"/>
              </w:numPr>
              <w:spacing w:before="33" w:after="0" w:line="240" w:lineRule="auto"/>
              <w:rPr>
                <w:color w:val="000000"/>
                <w:sz w:val="14"/>
                <w:szCs w:val="14"/>
              </w:rPr>
            </w:pPr>
            <w:r>
              <w:rPr>
                <w:color w:val="000000"/>
                <w:sz w:val="14"/>
                <w:szCs w:val="14"/>
              </w:rPr>
              <w:t>Are there any differences between the different categories of NAMs?</w:t>
            </w:r>
          </w:p>
          <w:p w14:paraId="6B34AF59"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Are there any lists of NAMs who arrived in the country in the previous 12 months? Where is it possible to get this information?</w:t>
            </w:r>
          </w:p>
          <w:p w14:paraId="5F37D7B4" w14:textId="77777777" w:rsidR="00571DA3" w:rsidRDefault="00571DA3" w:rsidP="006C6F47">
            <w:pPr>
              <w:numPr>
                <w:ilvl w:val="0"/>
                <w:numId w:val="2"/>
              </w:numPr>
              <w:spacing w:before="33" w:after="0" w:line="240" w:lineRule="auto"/>
              <w:rPr>
                <w:color w:val="000000"/>
                <w:sz w:val="14"/>
                <w:szCs w:val="14"/>
              </w:rPr>
            </w:pPr>
            <w:r>
              <w:rPr>
                <w:color w:val="000000"/>
                <w:sz w:val="14"/>
                <w:szCs w:val="14"/>
              </w:rPr>
              <w:t>Are there any differences between the different categories of NAMs?</w:t>
            </w:r>
          </w:p>
          <w:p w14:paraId="7C5AF438"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Through which channels are NAMs contacted? Are NAMs contacted at an individual / collective level (</w:t>
            </w:r>
            <w:proofErr w:type="gramStart"/>
            <w:r>
              <w:rPr>
                <w:color w:val="000000"/>
                <w:sz w:val="14"/>
                <w:szCs w:val="14"/>
              </w:rPr>
              <w:t>e.g.</w:t>
            </w:r>
            <w:proofErr w:type="gramEnd"/>
            <w:r>
              <w:rPr>
                <w:color w:val="000000"/>
                <w:sz w:val="14"/>
                <w:szCs w:val="14"/>
              </w:rPr>
              <w:t xml:space="preserve"> reception centres)?</w:t>
            </w:r>
          </w:p>
          <w:p w14:paraId="485814C2" w14:textId="77777777" w:rsidR="00571DA3" w:rsidRDefault="00571DA3" w:rsidP="006C6F47">
            <w:pPr>
              <w:numPr>
                <w:ilvl w:val="0"/>
                <w:numId w:val="2"/>
              </w:numPr>
              <w:spacing w:before="33" w:after="0" w:line="240" w:lineRule="auto"/>
              <w:rPr>
                <w:color w:val="000000"/>
                <w:sz w:val="14"/>
                <w:szCs w:val="14"/>
              </w:rPr>
            </w:pPr>
            <w:r>
              <w:rPr>
                <w:color w:val="000000"/>
                <w:sz w:val="14"/>
                <w:szCs w:val="14"/>
              </w:rPr>
              <w:t>Are there any differences between the different categories of NAMs?</w:t>
            </w:r>
          </w:p>
          <w:p w14:paraId="76213F99"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 xml:space="preserve">Is there a possibility for NAMs or NGOs working with NAMs to actively request vaccinations? </w:t>
            </w:r>
          </w:p>
          <w:p w14:paraId="7491CAB6" w14:textId="77777777" w:rsidR="00571DA3" w:rsidRDefault="00571DA3" w:rsidP="006C6F47">
            <w:pPr>
              <w:numPr>
                <w:ilvl w:val="0"/>
                <w:numId w:val="2"/>
              </w:numPr>
              <w:spacing w:before="33" w:after="0" w:line="240" w:lineRule="auto"/>
              <w:rPr>
                <w:color w:val="000000"/>
                <w:sz w:val="14"/>
                <w:szCs w:val="14"/>
              </w:rPr>
            </w:pPr>
            <w:r>
              <w:rPr>
                <w:color w:val="000000"/>
                <w:sz w:val="14"/>
                <w:szCs w:val="14"/>
              </w:rPr>
              <w:t>Are there any differences between the different categories of NAMs?</w:t>
            </w:r>
          </w:p>
          <w:p w14:paraId="181AAB52"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Are health, social and police workers adequately trained regarding NAMs vaccination rights?</w:t>
            </w:r>
          </w:p>
        </w:tc>
      </w:tr>
      <w:tr w:rsidR="00571DA3" w14:paraId="21D984DC" w14:textId="77777777" w:rsidTr="006C6F47">
        <w:trPr>
          <w:trHeight w:val="5237"/>
        </w:trPr>
        <w:tc>
          <w:tcPr>
            <w:tcW w:w="1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B38AAC1" w14:textId="77777777" w:rsidR="00571DA3" w:rsidRDefault="00571DA3" w:rsidP="006C6F47">
            <w:pPr>
              <w:spacing w:before="33"/>
              <w:rPr>
                <w:rFonts w:ascii="Times New Roman" w:eastAsia="Times New Roman" w:hAnsi="Times New Roman" w:cs="Times New Roman"/>
                <w:sz w:val="24"/>
                <w:szCs w:val="24"/>
              </w:rPr>
            </w:pPr>
            <w:r>
              <w:rPr>
                <w:b/>
                <w:color w:val="000000"/>
              </w:rPr>
              <w:t>ADHERENCE</w:t>
            </w:r>
          </w:p>
          <w:p w14:paraId="27FB8734" w14:textId="77777777" w:rsidR="00571DA3" w:rsidRDefault="00571DA3" w:rsidP="006C6F47">
            <w:pPr>
              <w:spacing w:before="33"/>
              <w:rPr>
                <w:rFonts w:ascii="Times New Roman" w:eastAsia="Times New Roman" w:hAnsi="Times New Roman" w:cs="Times New Roman"/>
                <w:sz w:val="24"/>
                <w:szCs w:val="24"/>
              </w:rPr>
            </w:pPr>
            <w:r>
              <w:rPr>
                <w:color w:val="000000"/>
              </w:rPr>
              <w:t>(vs. Hesitancy)</w:t>
            </w:r>
          </w:p>
          <w:p w14:paraId="777EAE9A" w14:textId="77777777" w:rsidR="00571DA3" w:rsidRDefault="00571DA3" w:rsidP="006C6F47">
            <w:pPr>
              <w:spacing w:before="33"/>
              <w:rPr>
                <w:rFonts w:ascii="Times New Roman" w:eastAsia="Times New Roman" w:hAnsi="Times New Roman" w:cs="Times New Roman"/>
                <w:sz w:val="24"/>
                <w:szCs w:val="24"/>
              </w:rPr>
            </w:pPr>
            <w:r>
              <w:rPr>
                <w:color w:val="000000"/>
              </w:rPr>
              <w:t>to vaccination</w:t>
            </w:r>
          </w:p>
          <w:p w14:paraId="51FD4C8B" w14:textId="77777777" w:rsidR="00571DA3" w:rsidRDefault="00571DA3" w:rsidP="006C6F47">
            <w:pPr>
              <w:spacing w:before="33"/>
              <w:rPr>
                <w:b/>
                <w:color w:val="000000"/>
              </w:rPr>
            </w:pPr>
          </w:p>
          <w:p w14:paraId="7D6E6169" w14:textId="77777777" w:rsidR="00571DA3" w:rsidRDefault="00571DA3" w:rsidP="006C6F47">
            <w:pPr>
              <w:spacing w:before="33"/>
              <w:rPr>
                <w:rFonts w:ascii="Times New Roman" w:eastAsia="Times New Roman" w:hAnsi="Times New Roman" w:cs="Times New Roman"/>
                <w:sz w:val="24"/>
                <w:szCs w:val="24"/>
              </w:rPr>
            </w:pPr>
            <w:r>
              <w:rPr>
                <w:b/>
                <w:color w:val="000000"/>
              </w:rPr>
              <w:t xml:space="preserve">HOW </w:t>
            </w:r>
            <w:r>
              <w:rPr>
                <w:color w:val="000000"/>
              </w:rPr>
              <w:t>(vaccines are offered)</w:t>
            </w:r>
            <w:r>
              <w:rPr>
                <w:b/>
                <w:color w:val="000000"/>
              </w:rPr>
              <w:t xml:space="preserve"> for WHAT </w:t>
            </w:r>
            <w:r>
              <w:rPr>
                <w:color w:val="000000"/>
              </w:rPr>
              <w:t>(NAMs needs)?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BEF16" w14:textId="77777777" w:rsidR="00571DA3" w:rsidRDefault="00571DA3" w:rsidP="006C6F47">
            <w:pPr>
              <w:spacing w:before="33"/>
              <w:rPr>
                <w:rFonts w:ascii="Times New Roman" w:eastAsia="Times New Roman" w:hAnsi="Times New Roman" w:cs="Times New Roman"/>
                <w:sz w:val="16"/>
                <w:szCs w:val="16"/>
              </w:rPr>
            </w:pPr>
            <w:r>
              <w:rPr>
                <w:color w:val="000000"/>
                <w:sz w:val="16"/>
                <w:szCs w:val="16"/>
              </w:rPr>
              <w:t xml:space="preserve">This concept includes strategies to ensure that NAMs respond positively to the vaccination offer. </w:t>
            </w:r>
            <w:r>
              <w:rPr>
                <w:color w:val="3C4043"/>
                <w:sz w:val="16"/>
                <w:szCs w:val="16"/>
              </w:rPr>
              <w:t xml:space="preserve">It is also necessary to devise strategies and </w:t>
            </w:r>
            <w:r>
              <w:rPr>
                <w:color w:val="000000"/>
                <w:sz w:val="16"/>
                <w:szCs w:val="16"/>
              </w:rPr>
              <w:t>abilities in the professional FOR health to counteract vaccination hesitancy,</w:t>
            </w:r>
            <w:r>
              <w:rPr>
                <w:color w:val="3C4043"/>
                <w:sz w:val="16"/>
                <w:szCs w:val="16"/>
              </w:rPr>
              <w:t xml:space="preserve"> fear, and other psycho-social issues among NAMs</w:t>
            </w:r>
          </w:p>
        </w:tc>
        <w:tc>
          <w:tcPr>
            <w:tcW w:w="5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FCEE0"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Legal barriers/solutions</w:t>
            </w:r>
          </w:p>
          <w:p w14:paraId="38201D79"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Is there a reporting obligation / risk to non</w:t>
            </w:r>
            <w:r>
              <w:rPr>
                <w:rFonts w:ascii="Cambria Math" w:eastAsia="Cambria Math" w:hAnsi="Cambria Math" w:cs="Cambria Math"/>
                <w:color w:val="000000"/>
                <w:sz w:val="14"/>
                <w:szCs w:val="14"/>
              </w:rPr>
              <w:t>‐</w:t>
            </w:r>
            <w:r>
              <w:rPr>
                <w:color w:val="000000"/>
                <w:sz w:val="14"/>
                <w:szCs w:val="14"/>
              </w:rPr>
              <w:t xml:space="preserve">sanitary bodies (and </w:t>
            </w:r>
            <w:proofErr w:type="gramStart"/>
            <w:r>
              <w:rPr>
                <w:color w:val="000000"/>
                <w:sz w:val="14"/>
                <w:szCs w:val="14"/>
              </w:rPr>
              <w:t>in particular to</w:t>
            </w:r>
            <w:proofErr w:type="gramEnd"/>
            <w:r>
              <w:rPr>
                <w:color w:val="000000"/>
                <w:sz w:val="14"/>
                <w:szCs w:val="14"/>
              </w:rPr>
              <w:t xml:space="preserve"> the Police) for undocumented NAMs?</w:t>
            </w:r>
          </w:p>
          <w:p w14:paraId="43178A57" w14:textId="77777777" w:rsidR="00571DA3" w:rsidRDefault="00571DA3" w:rsidP="006C6F47">
            <w:pPr>
              <w:spacing w:before="33"/>
              <w:rPr>
                <w:b/>
                <w:color w:val="000000"/>
                <w:sz w:val="14"/>
                <w:szCs w:val="14"/>
              </w:rPr>
            </w:pPr>
          </w:p>
          <w:p w14:paraId="79230E35"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Economic barriers / solutions</w:t>
            </w:r>
          </w:p>
          <w:p w14:paraId="50E508F4"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proofErr w:type="gramStart"/>
            <w:r>
              <w:rPr>
                <w:color w:val="000000"/>
                <w:sz w:val="14"/>
                <w:szCs w:val="14"/>
              </w:rPr>
              <w:t>Is</w:t>
            </w:r>
            <w:proofErr w:type="gramEnd"/>
            <w:r>
              <w:rPr>
                <w:color w:val="000000"/>
                <w:sz w:val="14"/>
                <w:szCs w:val="14"/>
              </w:rPr>
              <w:t xml:space="preserve"> the vaccination offer truly free of any charge, if the NAM is entitled to?</w:t>
            </w:r>
          </w:p>
          <w:p w14:paraId="7D9562A9" w14:textId="77777777" w:rsidR="00571DA3" w:rsidRDefault="00571DA3" w:rsidP="006C6F47">
            <w:pPr>
              <w:spacing w:before="33"/>
              <w:rPr>
                <w:b/>
                <w:color w:val="000000"/>
                <w:sz w:val="14"/>
                <w:szCs w:val="14"/>
              </w:rPr>
            </w:pPr>
          </w:p>
          <w:p w14:paraId="66F6EE6B"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Organizational barriers/solutions</w:t>
            </w:r>
          </w:p>
          <w:p w14:paraId="2A2576FC" w14:textId="77777777" w:rsidR="00571DA3" w:rsidRDefault="00571DA3" w:rsidP="006C6F47">
            <w:pPr>
              <w:numPr>
                <w:ilvl w:val="0"/>
                <w:numId w:val="1"/>
              </w:numPr>
              <w:spacing w:before="33" w:after="0" w:line="240" w:lineRule="auto"/>
              <w:rPr>
                <w:color w:val="000000"/>
                <w:sz w:val="14"/>
                <w:szCs w:val="14"/>
              </w:rPr>
            </w:pPr>
            <w:proofErr w:type="gramStart"/>
            <w:r>
              <w:rPr>
                <w:color w:val="000000"/>
                <w:sz w:val="14"/>
                <w:szCs w:val="14"/>
              </w:rPr>
              <w:t>Is</w:t>
            </w:r>
            <w:proofErr w:type="gramEnd"/>
            <w:r>
              <w:rPr>
                <w:color w:val="000000"/>
                <w:sz w:val="14"/>
                <w:szCs w:val="14"/>
              </w:rPr>
              <w:t xml:space="preserve"> the vaccination offer ‘active’ (in the sense of actively proposed by the Health System and not only consequent to a specific request of the NAM)?</w:t>
            </w:r>
          </w:p>
          <w:p w14:paraId="7A525B8A" w14:textId="77777777" w:rsidR="00571DA3" w:rsidRDefault="00571DA3" w:rsidP="006C6F47">
            <w:pPr>
              <w:numPr>
                <w:ilvl w:val="0"/>
                <w:numId w:val="1"/>
              </w:numPr>
              <w:spacing w:before="33" w:after="0" w:line="240" w:lineRule="auto"/>
              <w:rPr>
                <w:color w:val="000000"/>
                <w:sz w:val="14"/>
                <w:szCs w:val="14"/>
              </w:rPr>
            </w:pPr>
            <w:r>
              <w:rPr>
                <w:color w:val="000000"/>
                <w:sz w:val="14"/>
                <w:szCs w:val="14"/>
              </w:rPr>
              <w:t>Are the services easily accessible?</w:t>
            </w:r>
          </w:p>
          <w:p w14:paraId="448EAD9A"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proofErr w:type="gramStart"/>
            <w:r>
              <w:rPr>
                <w:color w:val="000000"/>
                <w:sz w:val="14"/>
                <w:szCs w:val="14"/>
              </w:rPr>
              <w:t>Is</w:t>
            </w:r>
            <w:proofErr w:type="gramEnd"/>
            <w:r>
              <w:rPr>
                <w:color w:val="000000"/>
                <w:sz w:val="14"/>
                <w:szCs w:val="14"/>
              </w:rPr>
              <w:t xml:space="preserve"> the vaccination offer organized with proximity services?</w:t>
            </w:r>
          </w:p>
          <w:p w14:paraId="30A6B926" w14:textId="77777777" w:rsidR="00571DA3" w:rsidRDefault="00571DA3" w:rsidP="006C6F47">
            <w:pPr>
              <w:spacing w:before="33"/>
              <w:rPr>
                <w:b/>
                <w:color w:val="000000"/>
                <w:sz w:val="14"/>
                <w:szCs w:val="14"/>
              </w:rPr>
            </w:pPr>
          </w:p>
          <w:p w14:paraId="0719B63C"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Psycho-social barriers/solutions</w:t>
            </w:r>
          </w:p>
          <w:p w14:paraId="0070BD98" w14:textId="77777777" w:rsidR="00571DA3" w:rsidRDefault="00571DA3" w:rsidP="006C6F47">
            <w:pPr>
              <w:numPr>
                <w:ilvl w:val="0"/>
                <w:numId w:val="1"/>
              </w:numPr>
              <w:spacing w:before="33" w:after="0" w:line="240" w:lineRule="auto"/>
              <w:rPr>
                <w:color w:val="000000"/>
                <w:sz w:val="14"/>
                <w:szCs w:val="14"/>
              </w:rPr>
            </w:pPr>
            <w:r>
              <w:rPr>
                <w:color w:val="000000"/>
                <w:sz w:val="14"/>
                <w:szCs w:val="14"/>
              </w:rPr>
              <w:t>Is the fear of reporting to non-sanitary bodies by the vaccination services countered?</w:t>
            </w:r>
          </w:p>
          <w:p w14:paraId="002620A0" w14:textId="77777777" w:rsidR="00571DA3" w:rsidRDefault="00571DA3" w:rsidP="006C6F47">
            <w:pPr>
              <w:numPr>
                <w:ilvl w:val="0"/>
                <w:numId w:val="1"/>
              </w:numPr>
              <w:spacing w:before="33" w:after="0" w:line="240" w:lineRule="auto"/>
              <w:rPr>
                <w:color w:val="000000"/>
                <w:sz w:val="14"/>
                <w:szCs w:val="14"/>
              </w:rPr>
            </w:pPr>
            <w:r>
              <w:rPr>
                <w:color w:val="000000"/>
                <w:sz w:val="14"/>
                <w:szCs w:val="14"/>
              </w:rPr>
              <w:t>Are the vaccinations voluntary, confidential, non</w:t>
            </w:r>
            <w:r>
              <w:rPr>
                <w:rFonts w:ascii="Cambria Math" w:eastAsia="Cambria Math" w:hAnsi="Cambria Math" w:cs="Cambria Math"/>
                <w:color w:val="000000"/>
                <w:sz w:val="14"/>
                <w:szCs w:val="14"/>
              </w:rPr>
              <w:t>‐</w:t>
            </w:r>
            <w:r>
              <w:rPr>
                <w:color w:val="000000"/>
                <w:sz w:val="14"/>
                <w:szCs w:val="14"/>
              </w:rPr>
              <w:t>stigmatizing?</w:t>
            </w:r>
          </w:p>
          <w:p w14:paraId="51BE5AA4" w14:textId="77777777" w:rsidR="00571DA3" w:rsidRDefault="00571DA3" w:rsidP="006C6F47">
            <w:pPr>
              <w:pBdr>
                <w:top w:val="nil"/>
                <w:left w:val="nil"/>
                <w:bottom w:val="nil"/>
                <w:right w:val="nil"/>
                <w:between w:val="nil"/>
              </w:pBdr>
              <w:spacing w:before="33"/>
              <w:ind w:left="360"/>
              <w:rPr>
                <w:color w:val="000000"/>
                <w:sz w:val="14"/>
                <w:szCs w:val="14"/>
              </w:rPr>
            </w:pPr>
          </w:p>
          <w:p w14:paraId="0EA8139E"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Cultural</w:t>
            </w:r>
            <w:r>
              <w:rPr>
                <w:rFonts w:ascii="Cambria Math" w:eastAsia="Cambria Math" w:hAnsi="Cambria Math" w:cs="Cambria Math"/>
                <w:b/>
                <w:color w:val="000000"/>
                <w:sz w:val="14"/>
                <w:szCs w:val="14"/>
              </w:rPr>
              <w:t>‐</w:t>
            </w:r>
            <w:r>
              <w:rPr>
                <w:b/>
                <w:color w:val="000000"/>
                <w:sz w:val="14"/>
                <w:szCs w:val="14"/>
              </w:rPr>
              <w:t>linguistic barriers/solutions</w:t>
            </w:r>
          </w:p>
          <w:p w14:paraId="61054DCB" w14:textId="77777777" w:rsidR="00571DA3" w:rsidRDefault="00571DA3" w:rsidP="006C6F47">
            <w:pPr>
              <w:numPr>
                <w:ilvl w:val="0"/>
                <w:numId w:val="1"/>
              </w:numPr>
              <w:spacing w:before="33" w:after="0" w:line="240" w:lineRule="auto"/>
              <w:rPr>
                <w:color w:val="000000"/>
                <w:sz w:val="14"/>
                <w:szCs w:val="14"/>
              </w:rPr>
            </w:pPr>
            <w:r>
              <w:rPr>
                <w:color w:val="000000"/>
                <w:sz w:val="14"/>
                <w:szCs w:val="14"/>
              </w:rPr>
              <w:t>Is adequate and accessible information (by method and language) provided by the vaccination service?</w:t>
            </w:r>
          </w:p>
          <w:p w14:paraId="238643D5" w14:textId="77777777" w:rsidR="00571DA3" w:rsidRDefault="00571DA3" w:rsidP="006C6F47">
            <w:pPr>
              <w:numPr>
                <w:ilvl w:val="0"/>
                <w:numId w:val="1"/>
              </w:numPr>
              <w:spacing w:before="33" w:after="0" w:line="240" w:lineRule="auto"/>
              <w:rPr>
                <w:color w:val="000000"/>
                <w:sz w:val="14"/>
                <w:szCs w:val="14"/>
              </w:rPr>
            </w:pPr>
            <w:r>
              <w:rPr>
                <w:color w:val="000000"/>
                <w:sz w:val="14"/>
                <w:szCs w:val="14"/>
              </w:rPr>
              <w:t>Is adequate and culturally competent information provided about the importance and safety of vaccination to improve adherence?</w:t>
            </w:r>
          </w:p>
          <w:p w14:paraId="70E5091C" w14:textId="77777777" w:rsidR="00571DA3" w:rsidRDefault="00571DA3" w:rsidP="006C6F47">
            <w:pPr>
              <w:numPr>
                <w:ilvl w:val="0"/>
                <w:numId w:val="1"/>
              </w:numPr>
              <w:spacing w:before="33" w:after="0" w:line="240" w:lineRule="auto"/>
              <w:rPr>
                <w:color w:val="000000"/>
                <w:sz w:val="14"/>
                <w:szCs w:val="14"/>
              </w:rPr>
            </w:pPr>
            <w:r>
              <w:rPr>
                <w:color w:val="000000"/>
                <w:sz w:val="14"/>
                <w:szCs w:val="14"/>
              </w:rPr>
              <w:t>Which communication channels are used (health professionals, community leaders, law enforcement agencies, etc.)?</w:t>
            </w:r>
          </w:p>
          <w:p w14:paraId="1D9B62FF" w14:textId="77777777" w:rsidR="00571DA3" w:rsidRDefault="00571DA3" w:rsidP="006C6F47">
            <w:pPr>
              <w:numPr>
                <w:ilvl w:val="0"/>
                <w:numId w:val="1"/>
              </w:numPr>
              <w:spacing w:before="33" w:after="0" w:line="240" w:lineRule="auto"/>
              <w:rPr>
                <w:color w:val="000000"/>
                <w:sz w:val="14"/>
                <w:szCs w:val="14"/>
              </w:rPr>
            </w:pPr>
            <w:r>
              <w:rPr>
                <w:color w:val="000000"/>
                <w:sz w:val="14"/>
                <w:szCs w:val="14"/>
              </w:rPr>
              <w:t>Are interventions being implemented to combat fake news on vaccines?</w:t>
            </w:r>
          </w:p>
          <w:p w14:paraId="6D3192CC"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 xml:space="preserve">Are health, social and police workers adequately trained to address the cultural barriers </w:t>
            </w:r>
            <w:proofErr w:type="gramStart"/>
            <w:r>
              <w:rPr>
                <w:color w:val="000000"/>
                <w:sz w:val="14"/>
                <w:szCs w:val="14"/>
              </w:rPr>
              <w:t>so as to</w:t>
            </w:r>
            <w:proofErr w:type="gramEnd"/>
            <w:r>
              <w:rPr>
                <w:color w:val="000000"/>
                <w:sz w:val="14"/>
                <w:szCs w:val="14"/>
              </w:rPr>
              <w:t xml:space="preserve"> ensure an adherence to vaccination?</w:t>
            </w:r>
          </w:p>
        </w:tc>
      </w:tr>
      <w:tr w:rsidR="00571DA3" w14:paraId="25BA1B92" w14:textId="77777777" w:rsidTr="006C6F47">
        <w:trPr>
          <w:trHeight w:val="3653"/>
        </w:trPr>
        <w:tc>
          <w:tcPr>
            <w:tcW w:w="1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0CAC35D" w14:textId="77777777" w:rsidR="00571DA3" w:rsidRDefault="00571DA3" w:rsidP="006C6F47">
            <w:pPr>
              <w:spacing w:before="33"/>
              <w:rPr>
                <w:rFonts w:ascii="Times New Roman" w:eastAsia="Times New Roman" w:hAnsi="Times New Roman" w:cs="Times New Roman"/>
                <w:sz w:val="24"/>
                <w:szCs w:val="24"/>
              </w:rPr>
            </w:pPr>
            <w:r>
              <w:rPr>
                <w:b/>
                <w:color w:val="000000"/>
              </w:rPr>
              <w:t xml:space="preserve">ACHIEVEMENT </w:t>
            </w:r>
            <w:r>
              <w:rPr>
                <w:color w:val="000000"/>
              </w:rPr>
              <w:t>Execution + completion</w:t>
            </w:r>
          </w:p>
          <w:p w14:paraId="6DB59FA6" w14:textId="77777777" w:rsidR="00571DA3" w:rsidRDefault="00571DA3" w:rsidP="006C6F47">
            <w:pPr>
              <w:spacing w:before="33"/>
              <w:rPr>
                <w:rFonts w:ascii="Times New Roman" w:eastAsia="Times New Roman" w:hAnsi="Times New Roman" w:cs="Times New Roman"/>
                <w:sz w:val="24"/>
                <w:szCs w:val="24"/>
              </w:rPr>
            </w:pPr>
            <w:r>
              <w:rPr>
                <w:color w:val="000000"/>
              </w:rPr>
              <w:t>of vaccination</w:t>
            </w:r>
          </w:p>
          <w:p w14:paraId="6BBA8D7A" w14:textId="77777777" w:rsidR="00571DA3" w:rsidRDefault="00571DA3" w:rsidP="006C6F47">
            <w:pPr>
              <w:spacing w:before="33"/>
              <w:rPr>
                <w:b/>
                <w:color w:val="000000"/>
              </w:rPr>
            </w:pPr>
          </w:p>
          <w:p w14:paraId="6ED269FE" w14:textId="77777777" w:rsidR="00571DA3" w:rsidRDefault="00571DA3" w:rsidP="006C6F47">
            <w:pPr>
              <w:spacing w:before="33"/>
              <w:rPr>
                <w:rFonts w:ascii="Times New Roman" w:eastAsia="Times New Roman" w:hAnsi="Times New Roman" w:cs="Times New Roman"/>
                <w:sz w:val="24"/>
                <w:szCs w:val="24"/>
              </w:rPr>
            </w:pPr>
            <w:r>
              <w:rPr>
                <w:b/>
                <w:color w:val="000000"/>
              </w:rPr>
              <w:t xml:space="preserve">WHAT </w:t>
            </w:r>
            <w:r>
              <w:rPr>
                <w:color w:val="000000"/>
              </w:rPr>
              <w:t>(vaccines)</w:t>
            </w:r>
            <w:r>
              <w:rPr>
                <w:b/>
                <w:color w:val="000000"/>
              </w:rPr>
              <w:t xml:space="preserve"> and WHEN for WHOM </w:t>
            </w:r>
            <w:r>
              <w:rPr>
                <w:color w:val="000000"/>
              </w:rPr>
              <w:t>and</w:t>
            </w:r>
            <w:r>
              <w:rPr>
                <w:b/>
                <w:color w:val="000000"/>
              </w:rPr>
              <w:t xml:space="preserve"> HOW for WHAT?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92C0A" w14:textId="77777777" w:rsidR="00571DA3" w:rsidRDefault="00571DA3" w:rsidP="006C6F47">
            <w:pPr>
              <w:spacing w:before="33"/>
              <w:rPr>
                <w:rFonts w:ascii="Times New Roman" w:eastAsia="Times New Roman" w:hAnsi="Times New Roman" w:cs="Times New Roman"/>
                <w:sz w:val="16"/>
                <w:szCs w:val="16"/>
              </w:rPr>
            </w:pPr>
            <w:r>
              <w:rPr>
                <w:color w:val="000000"/>
                <w:sz w:val="16"/>
                <w:szCs w:val="16"/>
              </w:rPr>
              <w:t>This concept concerns the execution and the completion of vaccination and should focus on organization and flexibility of health services.</w:t>
            </w:r>
          </w:p>
        </w:tc>
        <w:tc>
          <w:tcPr>
            <w:tcW w:w="5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B2B5D"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Organizational barriers/solutions</w:t>
            </w:r>
          </w:p>
          <w:p w14:paraId="619B5D4F" w14:textId="77777777" w:rsidR="00571DA3" w:rsidRDefault="00571DA3" w:rsidP="006C6F47">
            <w:pPr>
              <w:numPr>
                <w:ilvl w:val="0"/>
                <w:numId w:val="1"/>
              </w:numPr>
              <w:spacing w:before="33" w:after="0" w:line="240" w:lineRule="auto"/>
              <w:rPr>
                <w:color w:val="000000"/>
                <w:sz w:val="14"/>
                <w:szCs w:val="14"/>
              </w:rPr>
            </w:pPr>
            <w:r>
              <w:rPr>
                <w:color w:val="000000"/>
                <w:sz w:val="14"/>
                <w:szCs w:val="14"/>
              </w:rPr>
              <w:t>Is there an assessment of the previous vaccination status of individual NAM? How is this assessment done?</w:t>
            </w:r>
          </w:p>
          <w:p w14:paraId="20578754" w14:textId="77777777" w:rsidR="00571DA3" w:rsidRDefault="00571DA3" w:rsidP="006C6F47">
            <w:pPr>
              <w:numPr>
                <w:ilvl w:val="0"/>
                <w:numId w:val="1"/>
              </w:numPr>
              <w:spacing w:before="33" w:after="0" w:line="240" w:lineRule="auto"/>
              <w:rPr>
                <w:color w:val="000000"/>
                <w:sz w:val="14"/>
                <w:szCs w:val="14"/>
              </w:rPr>
            </w:pPr>
            <w:r>
              <w:rPr>
                <w:color w:val="000000"/>
                <w:sz w:val="14"/>
                <w:szCs w:val="14"/>
              </w:rPr>
              <w:t>Are vaccination services flexible in terms of organization / time?</w:t>
            </w:r>
          </w:p>
          <w:p w14:paraId="58EF5D02" w14:textId="77777777" w:rsidR="00571DA3" w:rsidRDefault="00571DA3" w:rsidP="006C6F47">
            <w:pPr>
              <w:numPr>
                <w:ilvl w:val="0"/>
                <w:numId w:val="1"/>
              </w:numPr>
              <w:spacing w:before="33" w:after="0" w:line="240" w:lineRule="auto"/>
              <w:rPr>
                <w:color w:val="000000"/>
                <w:sz w:val="14"/>
                <w:szCs w:val="14"/>
              </w:rPr>
            </w:pPr>
            <w:r>
              <w:rPr>
                <w:color w:val="000000"/>
                <w:sz w:val="14"/>
                <w:szCs w:val="14"/>
              </w:rPr>
              <w:t>Do NAMs have easy physical access to vaccination services?</w:t>
            </w:r>
          </w:p>
          <w:p w14:paraId="71CFF81B" w14:textId="77777777" w:rsidR="00571DA3" w:rsidRDefault="00571DA3" w:rsidP="006C6F47">
            <w:pPr>
              <w:numPr>
                <w:ilvl w:val="0"/>
                <w:numId w:val="1"/>
              </w:numPr>
              <w:spacing w:before="33" w:after="0" w:line="240" w:lineRule="auto"/>
              <w:rPr>
                <w:color w:val="000000"/>
                <w:sz w:val="14"/>
                <w:szCs w:val="14"/>
              </w:rPr>
            </w:pPr>
            <w:r>
              <w:rPr>
                <w:color w:val="000000"/>
                <w:sz w:val="14"/>
                <w:szCs w:val="14"/>
              </w:rPr>
              <w:t>Is a vaccination certificate issued?</w:t>
            </w:r>
          </w:p>
          <w:p w14:paraId="526E109B" w14:textId="77777777" w:rsidR="00571DA3" w:rsidRDefault="00571DA3" w:rsidP="006C6F47">
            <w:pPr>
              <w:numPr>
                <w:ilvl w:val="0"/>
                <w:numId w:val="1"/>
              </w:numPr>
              <w:spacing w:before="33" w:after="0" w:line="240" w:lineRule="auto"/>
              <w:rPr>
                <w:color w:val="000000"/>
                <w:sz w:val="14"/>
                <w:szCs w:val="14"/>
              </w:rPr>
            </w:pPr>
            <w:r>
              <w:rPr>
                <w:color w:val="000000"/>
                <w:sz w:val="14"/>
                <w:szCs w:val="14"/>
              </w:rPr>
              <w:t>How are the vaccinations carried out recorded?</w:t>
            </w:r>
          </w:p>
          <w:p w14:paraId="637FDA41"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Are there any differences between the different categories of NAMs in the organization of the vaccine process?</w:t>
            </w:r>
          </w:p>
          <w:p w14:paraId="3AE4E88C" w14:textId="77777777" w:rsidR="00571DA3" w:rsidRDefault="00571DA3" w:rsidP="006C6F47">
            <w:pPr>
              <w:spacing w:before="33"/>
              <w:ind w:left="360"/>
              <w:rPr>
                <w:rFonts w:ascii="Times New Roman" w:eastAsia="Times New Roman" w:hAnsi="Times New Roman" w:cs="Times New Roman"/>
                <w:sz w:val="14"/>
                <w:szCs w:val="14"/>
              </w:rPr>
            </w:pPr>
          </w:p>
          <w:p w14:paraId="7ABA2324"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Cultural-linguistic barriers/solutions</w:t>
            </w:r>
          </w:p>
          <w:p w14:paraId="51E30594" w14:textId="77777777" w:rsidR="00571DA3" w:rsidRDefault="00571DA3" w:rsidP="006C6F47">
            <w:pPr>
              <w:numPr>
                <w:ilvl w:val="0"/>
                <w:numId w:val="1"/>
              </w:numPr>
              <w:spacing w:before="33" w:after="0" w:line="240" w:lineRule="auto"/>
              <w:rPr>
                <w:color w:val="000000"/>
                <w:sz w:val="14"/>
                <w:szCs w:val="14"/>
              </w:rPr>
            </w:pPr>
            <w:r>
              <w:rPr>
                <w:color w:val="000000"/>
                <w:sz w:val="14"/>
                <w:szCs w:val="14"/>
              </w:rPr>
              <w:t>Is informed consent understandable (simple and translated into a language known by the NAMs)?</w:t>
            </w:r>
          </w:p>
          <w:p w14:paraId="0D59CF04" w14:textId="77777777" w:rsidR="00571DA3" w:rsidRDefault="00571DA3" w:rsidP="006C6F47">
            <w:pPr>
              <w:numPr>
                <w:ilvl w:val="0"/>
                <w:numId w:val="1"/>
              </w:numPr>
              <w:spacing w:before="33" w:after="0" w:line="240" w:lineRule="auto"/>
              <w:rPr>
                <w:color w:val="000000"/>
                <w:sz w:val="14"/>
                <w:szCs w:val="14"/>
              </w:rPr>
            </w:pPr>
            <w:r>
              <w:rPr>
                <w:color w:val="000000"/>
                <w:sz w:val="14"/>
                <w:szCs w:val="14"/>
              </w:rPr>
              <w:t>Are health professionals properly trained to address linguistic and cultural barriers? Is there any specific training available for professionals?</w:t>
            </w:r>
          </w:p>
          <w:p w14:paraId="49679489"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Are cultural mediators available for the needs of the service? </w:t>
            </w:r>
          </w:p>
        </w:tc>
      </w:tr>
      <w:tr w:rsidR="00571DA3" w14:paraId="45F92461" w14:textId="77777777" w:rsidTr="006C6F47">
        <w:trPr>
          <w:trHeight w:val="2892"/>
        </w:trPr>
        <w:tc>
          <w:tcPr>
            <w:tcW w:w="1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C074AC" w14:textId="77777777" w:rsidR="00571DA3" w:rsidRDefault="00571DA3" w:rsidP="006C6F47">
            <w:pPr>
              <w:spacing w:before="33"/>
              <w:rPr>
                <w:rFonts w:ascii="Times New Roman" w:eastAsia="Times New Roman" w:hAnsi="Times New Roman" w:cs="Times New Roman"/>
                <w:sz w:val="24"/>
                <w:szCs w:val="24"/>
              </w:rPr>
            </w:pPr>
            <w:r>
              <w:rPr>
                <w:b/>
                <w:color w:val="000000"/>
              </w:rPr>
              <w:t>EVALUATION</w:t>
            </w:r>
          </w:p>
          <w:p w14:paraId="4548D302" w14:textId="77777777" w:rsidR="00571DA3" w:rsidRDefault="00571DA3" w:rsidP="006C6F47">
            <w:pPr>
              <w:spacing w:before="33"/>
              <w:rPr>
                <w:rFonts w:ascii="Times New Roman" w:eastAsia="Times New Roman" w:hAnsi="Times New Roman" w:cs="Times New Roman"/>
                <w:sz w:val="24"/>
                <w:szCs w:val="24"/>
              </w:rPr>
            </w:pPr>
            <w:r>
              <w:rPr>
                <w:color w:val="000000"/>
              </w:rPr>
              <w:t>of vaccination intervention</w:t>
            </w:r>
          </w:p>
          <w:p w14:paraId="15D3DC8E" w14:textId="77777777" w:rsidR="00571DA3" w:rsidRDefault="00571DA3" w:rsidP="006C6F47">
            <w:pPr>
              <w:spacing w:before="33"/>
              <w:rPr>
                <w:rFonts w:ascii="Times New Roman" w:eastAsia="Times New Roman" w:hAnsi="Times New Roman" w:cs="Times New Roman"/>
                <w:sz w:val="24"/>
                <w:szCs w:val="24"/>
              </w:rPr>
            </w:pPr>
          </w:p>
          <w:p w14:paraId="7BC0EB7B" w14:textId="77777777" w:rsidR="00571DA3" w:rsidRDefault="00571DA3" w:rsidP="006C6F47">
            <w:pPr>
              <w:spacing w:before="33"/>
              <w:rPr>
                <w:rFonts w:ascii="Times New Roman" w:eastAsia="Times New Roman" w:hAnsi="Times New Roman" w:cs="Times New Roman"/>
              </w:rPr>
            </w:pPr>
            <w:r>
              <w:rPr>
                <w:b/>
                <w:color w:val="000000"/>
              </w:rPr>
              <w:t xml:space="preserve">HOW many </w:t>
            </w:r>
            <w:r>
              <w:rPr>
                <w:color w:val="000000"/>
              </w:rPr>
              <w:t>and</w:t>
            </w:r>
            <w:r>
              <w:rPr>
                <w:b/>
                <w:color w:val="000000"/>
              </w:rPr>
              <w:t xml:space="preserve"> WHO</w:t>
            </w:r>
            <w:r>
              <w:rPr>
                <w:color w:val="000000"/>
              </w:rPr>
              <w:t xml:space="preserve"> (vaccinated)</w:t>
            </w:r>
            <w:r>
              <w:rPr>
                <w:b/>
                <w:color w:val="000000"/>
              </w:rPr>
              <w:t xml:space="preserve"> among ALL (</w:t>
            </w:r>
            <w:r>
              <w:rPr>
                <w:color w:val="000000"/>
              </w:rPr>
              <w:t>NAMs</w:t>
            </w:r>
            <w:r>
              <w:rPr>
                <w:b/>
                <w:color w:val="000000"/>
              </w:rPr>
              <w:t>)</w:t>
            </w:r>
            <w:r>
              <w:rPr>
                <w:color w:val="000000"/>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6BADB" w14:textId="77777777" w:rsidR="00571DA3" w:rsidRDefault="00571DA3" w:rsidP="006C6F47">
            <w:pPr>
              <w:spacing w:before="33"/>
              <w:rPr>
                <w:rFonts w:ascii="Times New Roman" w:eastAsia="Times New Roman" w:hAnsi="Times New Roman" w:cs="Times New Roman"/>
                <w:sz w:val="16"/>
                <w:szCs w:val="16"/>
              </w:rPr>
            </w:pPr>
            <w:r>
              <w:rPr>
                <w:color w:val="000000"/>
                <w:sz w:val="16"/>
                <w:szCs w:val="16"/>
              </w:rPr>
              <w:t>This concept stresses the importance of the vaccination evaluation through every step of the vaccination process. It is linked to every other hub as the dashed arrows shown in figure 4. The vaccination Evaluation needs to involve the strategies and actions of every other previous hub.</w:t>
            </w:r>
          </w:p>
        </w:tc>
        <w:tc>
          <w:tcPr>
            <w:tcW w:w="5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B3010" w14:textId="77777777" w:rsidR="00571DA3" w:rsidRDefault="00571DA3" w:rsidP="006C6F47">
            <w:pPr>
              <w:spacing w:before="33"/>
              <w:rPr>
                <w:rFonts w:ascii="Times New Roman" w:eastAsia="Times New Roman" w:hAnsi="Times New Roman" w:cs="Times New Roman"/>
                <w:sz w:val="14"/>
                <w:szCs w:val="14"/>
              </w:rPr>
            </w:pPr>
            <w:r>
              <w:rPr>
                <w:b/>
                <w:color w:val="000000"/>
                <w:sz w:val="14"/>
                <w:szCs w:val="14"/>
              </w:rPr>
              <w:t>Organisational barriers/solutions</w:t>
            </w:r>
          </w:p>
          <w:p w14:paraId="6A3F9ABF" w14:textId="77777777" w:rsidR="00571DA3" w:rsidRDefault="00571DA3" w:rsidP="006C6F47">
            <w:pPr>
              <w:numPr>
                <w:ilvl w:val="0"/>
                <w:numId w:val="1"/>
              </w:numPr>
              <w:spacing w:before="33" w:after="0" w:line="240" w:lineRule="auto"/>
              <w:rPr>
                <w:color w:val="000000"/>
                <w:sz w:val="14"/>
                <w:szCs w:val="14"/>
              </w:rPr>
            </w:pPr>
            <w:r>
              <w:rPr>
                <w:color w:val="000000"/>
                <w:sz w:val="14"/>
                <w:szCs w:val="14"/>
              </w:rPr>
              <w:t>Does the Health System have an information flow dedicated to vaccinations at national level?</w:t>
            </w:r>
          </w:p>
          <w:p w14:paraId="25206F6C" w14:textId="77777777" w:rsidR="00571DA3" w:rsidRDefault="00571DA3" w:rsidP="006C6F47">
            <w:pPr>
              <w:numPr>
                <w:ilvl w:val="0"/>
                <w:numId w:val="1"/>
              </w:numPr>
              <w:spacing w:before="33" w:after="0" w:line="240" w:lineRule="auto"/>
              <w:rPr>
                <w:color w:val="000000"/>
                <w:sz w:val="14"/>
                <w:szCs w:val="14"/>
              </w:rPr>
            </w:pPr>
            <w:r>
              <w:rPr>
                <w:color w:val="000000"/>
                <w:sz w:val="14"/>
                <w:szCs w:val="14"/>
              </w:rPr>
              <w:t>Does the flow allow the extraction of data for NAMs?</w:t>
            </w:r>
          </w:p>
          <w:p w14:paraId="685F5A7F" w14:textId="77777777" w:rsidR="00571DA3" w:rsidRDefault="00571DA3" w:rsidP="006C6F47">
            <w:pPr>
              <w:numPr>
                <w:ilvl w:val="0"/>
                <w:numId w:val="1"/>
              </w:numPr>
              <w:spacing w:before="33" w:after="0" w:line="240" w:lineRule="auto"/>
              <w:rPr>
                <w:rFonts w:ascii="Times New Roman" w:eastAsia="Times New Roman" w:hAnsi="Times New Roman" w:cs="Times New Roman"/>
                <w:sz w:val="14"/>
                <w:szCs w:val="14"/>
              </w:rPr>
            </w:pPr>
            <w:r>
              <w:rPr>
                <w:color w:val="000000"/>
                <w:sz w:val="14"/>
                <w:szCs w:val="14"/>
              </w:rPr>
              <w:t>Is it possible to calculate the vaccination coverage for NAMs?</w:t>
            </w:r>
          </w:p>
          <w:p w14:paraId="2D1FB94B" w14:textId="77777777" w:rsidR="00571DA3" w:rsidRDefault="00571DA3" w:rsidP="006C6F47">
            <w:pPr>
              <w:numPr>
                <w:ilvl w:val="0"/>
                <w:numId w:val="3"/>
              </w:numPr>
              <w:spacing w:before="33" w:after="0" w:line="240" w:lineRule="auto"/>
              <w:rPr>
                <w:color w:val="000000"/>
                <w:sz w:val="14"/>
                <w:szCs w:val="14"/>
              </w:rPr>
            </w:pPr>
            <w:r>
              <w:rPr>
                <w:color w:val="000000"/>
                <w:sz w:val="14"/>
                <w:szCs w:val="14"/>
              </w:rPr>
              <w:t>Is vaccination data available as a numerator of vaccination coverage?</w:t>
            </w:r>
          </w:p>
          <w:p w14:paraId="35142F17" w14:textId="77777777" w:rsidR="00571DA3" w:rsidRDefault="00571DA3" w:rsidP="006C6F47">
            <w:pPr>
              <w:numPr>
                <w:ilvl w:val="1"/>
                <w:numId w:val="4"/>
              </w:numPr>
              <w:spacing w:after="0" w:line="240" w:lineRule="auto"/>
              <w:rPr>
                <w:color w:val="000000"/>
                <w:sz w:val="14"/>
                <w:szCs w:val="14"/>
              </w:rPr>
            </w:pPr>
            <w:r>
              <w:rPr>
                <w:color w:val="000000"/>
                <w:sz w:val="14"/>
                <w:szCs w:val="14"/>
              </w:rPr>
              <w:t>Is there a local/national database?</w:t>
            </w:r>
          </w:p>
          <w:p w14:paraId="625F4BB6" w14:textId="77777777" w:rsidR="00571DA3" w:rsidRDefault="00571DA3" w:rsidP="006C6F47">
            <w:pPr>
              <w:numPr>
                <w:ilvl w:val="1"/>
                <w:numId w:val="4"/>
              </w:numPr>
              <w:spacing w:after="0" w:line="240" w:lineRule="auto"/>
              <w:rPr>
                <w:color w:val="000000"/>
                <w:sz w:val="14"/>
                <w:szCs w:val="14"/>
              </w:rPr>
            </w:pPr>
            <w:r>
              <w:rPr>
                <w:color w:val="000000"/>
                <w:sz w:val="14"/>
                <w:szCs w:val="14"/>
              </w:rPr>
              <w:t>How long has the data been collected?</w:t>
            </w:r>
          </w:p>
          <w:p w14:paraId="7CE87475" w14:textId="77777777" w:rsidR="00571DA3" w:rsidRDefault="00571DA3" w:rsidP="006C6F47">
            <w:pPr>
              <w:numPr>
                <w:ilvl w:val="0"/>
                <w:numId w:val="4"/>
              </w:numPr>
              <w:spacing w:after="0" w:line="240" w:lineRule="auto"/>
              <w:rPr>
                <w:color w:val="000000"/>
                <w:sz w:val="14"/>
                <w:szCs w:val="14"/>
              </w:rPr>
            </w:pPr>
            <w:r>
              <w:rPr>
                <w:color w:val="000000"/>
                <w:sz w:val="14"/>
                <w:szCs w:val="14"/>
              </w:rPr>
              <w:t>Is the data of NAMs that entered the country in the previous 12 months available as a denominator of vaccination coverage?</w:t>
            </w:r>
          </w:p>
          <w:p w14:paraId="7CC8A98E" w14:textId="77777777" w:rsidR="00571DA3" w:rsidRDefault="00571DA3" w:rsidP="006C6F47">
            <w:pPr>
              <w:numPr>
                <w:ilvl w:val="1"/>
                <w:numId w:val="4"/>
              </w:numPr>
              <w:spacing w:after="0" w:line="240" w:lineRule="auto"/>
              <w:rPr>
                <w:color w:val="000000"/>
                <w:sz w:val="14"/>
                <w:szCs w:val="14"/>
              </w:rPr>
            </w:pPr>
            <w:r>
              <w:rPr>
                <w:color w:val="000000"/>
                <w:sz w:val="14"/>
                <w:szCs w:val="14"/>
              </w:rPr>
              <w:t>Is there a local/national database?</w:t>
            </w:r>
          </w:p>
          <w:p w14:paraId="391DB2EF" w14:textId="77777777" w:rsidR="00571DA3" w:rsidRDefault="00571DA3" w:rsidP="006C6F47">
            <w:pPr>
              <w:numPr>
                <w:ilvl w:val="1"/>
                <w:numId w:val="4"/>
              </w:numPr>
              <w:spacing w:after="0" w:line="240" w:lineRule="auto"/>
              <w:rPr>
                <w:color w:val="000000"/>
                <w:sz w:val="14"/>
                <w:szCs w:val="14"/>
              </w:rPr>
            </w:pPr>
            <w:r>
              <w:rPr>
                <w:color w:val="000000"/>
                <w:sz w:val="14"/>
                <w:szCs w:val="14"/>
              </w:rPr>
              <w:t>How long has the data been collected?</w:t>
            </w:r>
          </w:p>
          <w:p w14:paraId="43664886" w14:textId="77777777" w:rsidR="00571DA3" w:rsidRDefault="00571DA3" w:rsidP="006C6F47">
            <w:pPr>
              <w:numPr>
                <w:ilvl w:val="0"/>
                <w:numId w:val="4"/>
              </w:numPr>
              <w:spacing w:after="0" w:line="240" w:lineRule="auto"/>
              <w:rPr>
                <w:rFonts w:ascii="Times New Roman" w:eastAsia="Times New Roman" w:hAnsi="Times New Roman" w:cs="Times New Roman"/>
                <w:sz w:val="14"/>
                <w:szCs w:val="14"/>
              </w:rPr>
            </w:pPr>
            <w:r>
              <w:rPr>
                <w:color w:val="000000"/>
                <w:sz w:val="14"/>
                <w:szCs w:val="14"/>
              </w:rPr>
              <w:t>Are there any differences between the different categories of NAMs</w:t>
            </w:r>
          </w:p>
        </w:tc>
      </w:tr>
    </w:tbl>
    <w:p w14:paraId="6D1D240E" w14:textId="1661BF90" w:rsidR="00B3086F" w:rsidRDefault="00B3086F"/>
    <w:p w14:paraId="3EFEA744" w14:textId="77777777" w:rsidR="00B3086F" w:rsidRDefault="00B3086F">
      <w:r>
        <w:br w:type="page"/>
      </w:r>
    </w:p>
    <w:p w14:paraId="65700AF8" w14:textId="564A42F1" w:rsidR="00686978" w:rsidRDefault="00B3086F" w:rsidP="00B3086F">
      <w:pPr>
        <w:pStyle w:val="Heading2"/>
        <w:spacing w:before="0" w:after="120" w:line="240" w:lineRule="auto"/>
        <w:rPr>
          <w:rFonts w:ascii="Times New Roman" w:hAnsi="Times New Roman" w:cs="Times New Roman"/>
          <w:szCs w:val="24"/>
          <w:lang w:val="en-US"/>
        </w:rPr>
      </w:pPr>
      <w:r w:rsidRPr="00B3086F">
        <w:rPr>
          <w:rFonts w:ascii="Times New Roman" w:hAnsi="Times New Roman" w:cs="Times New Roman"/>
          <w:szCs w:val="24"/>
          <w:lang w:val="en-US"/>
        </w:rPr>
        <w:t xml:space="preserve">Supplementary Material </w:t>
      </w:r>
      <w:r w:rsidR="008D28BB">
        <w:rPr>
          <w:rFonts w:ascii="Times New Roman" w:hAnsi="Times New Roman" w:cs="Times New Roman"/>
          <w:szCs w:val="24"/>
          <w:lang w:val="en-US"/>
        </w:rPr>
        <w:t>2</w:t>
      </w:r>
    </w:p>
    <w:p w14:paraId="0125A59B" w14:textId="77777777" w:rsidR="00E4191E" w:rsidRDefault="001A5ED6" w:rsidP="00E4191E">
      <w:pPr>
        <w:pStyle w:val="NormalWeb"/>
        <w:spacing w:before="0" w:beforeAutospacing="0" w:after="120" w:afterAutospacing="0"/>
        <w:rPr>
          <w:lang w:val="en-US"/>
        </w:rPr>
      </w:pPr>
      <w:r>
        <w:rPr>
          <w:lang w:val="en-US"/>
        </w:rPr>
        <w:t xml:space="preserve">Desktop Literature review </w:t>
      </w:r>
      <w:r w:rsidRPr="00B11361">
        <w:rPr>
          <w:lang w:val="en-US"/>
        </w:rPr>
        <w:t>search strategy including inclusion and exclusion criteria</w:t>
      </w:r>
    </w:p>
    <w:p w14:paraId="610210B3" w14:textId="71165772" w:rsidR="00B3086F" w:rsidRPr="00E4191E" w:rsidRDefault="00B3086F" w:rsidP="00E4191E">
      <w:pPr>
        <w:pStyle w:val="NormalWeb"/>
        <w:spacing w:before="0" w:beforeAutospacing="0" w:after="120" w:afterAutospacing="0"/>
        <w:rPr>
          <w:b/>
          <w:bCs/>
          <w:lang w:val="en-US"/>
        </w:rPr>
      </w:pPr>
      <w:r w:rsidRPr="00E4191E">
        <w:rPr>
          <w:b/>
          <w:bCs/>
          <w:sz w:val="28"/>
          <w:szCs w:val="28"/>
          <w:lang w:val="en-GB"/>
        </w:rPr>
        <w:t xml:space="preserve">Protocols for desktop non-systematic review to identify system barriers (legal, linguistic, cultural, logistic) to immunization of NAMs and solutions already implemented to </w:t>
      </w:r>
      <w:proofErr w:type="gramStart"/>
      <w:r w:rsidRPr="00E4191E">
        <w:rPr>
          <w:b/>
          <w:bCs/>
          <w:sz w:val="28"/>
          <w:szCs w:val="28"/>
          <w:lang w:val="en-GB"/>
        </w:rPr>
        <w:t>overcome</w:t>
      </w:r>
      <w:proofErr w:type="gramEnd"/>
      <w:r w:rsidRPr="00E4191E">
        <w:rPr>
          <w:b/>
          <w:bCs/>
          <w:sz w:val="28"/>
          <w:szCs w:val="28"/>
          <w:lang w:val="en-GB"/>
        </w:rPr>
        <w:t xml:space="preserve"> </w:t>
      </w:r>
    </w:p>
    <w:p w14:paraId="27478496"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both"/>
        <w:rPr>
          <w:b/>
          <w:color w:val="7030A0"/>
        </w:rPr>
      </w:pPr>
      <w:r>
        <w:rPr>
          <w:b/>
          <w:color w:val="7030A0"/>
        </w:rPr>
        <w:t xml:space="preserve">WP4 – Immunization guidance, reception &amp; vaccine offer systems for NAMs and related barriers: a conceptual </w:t>
      </w:r>
      <w:proofErr w:type="gramStart"/>
      <w:r>
        <w:rPr>
          <w:b/>
          <w:color w:val="7030A0"/>
        </w:rPr>
        <w:t>framework</w:t>
      </w:r>
      <w:proofErr w:type="gramEnd"/>
    </w:p>
    <w:p w14:paraId="7DB634FF"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both"/>
      </w:pPr>
      <w:r>
        <w:t>The work of the WP4 will guide the implementation of the subsequent WPs. It is a crucial step for the project as during this phase an updated description of the existing situation in each of the consortium countries concerning the reception systems and vaccination systems for NAMs will be provided. The consortium will conduct desktop review and original research (qualitative participatory research) to identify country specific system barriers and relevant solutions. The results will be critically analysed and organized in a General Conceptual Framework, intended to be useful also for other EU countries not participating to the project. The WP4 has the following two Specific Objectives.</w:t>
      </w:r>
    </w:p>
    <w:p w14:paraId="521C17EB"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both"/>
      </w:pPr>
      <w:r>
        <w:rPr>
          <w:color w:val="1A1A1A"/>
        </w:rPr>
        <w:t>Specific Objective 1: To d</w:t>
      </w:r>
      <w:r>
        <w:t xml:space="preserve">escribe existing immunization guidance and the reception and vaccination offer systems for NAMs in consortium </w:t>
      </w:r>
      <w:proofErr w:type="gramStart"/>
      <w:r>
        <w:t>countries</w:t>
      </w:r>
      <w:proofErr w:type="gramEnd"/>
    </w:p>
    <w:p w14:paraId="1ACE60D3"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both"/>
        <w:rPr>
          <w:color w:val="1A1A1A"/>
        </w:rPr>
      </w:pPr>
      <w:r>
        <w:rPr>
          <w:color w:val="1A1A1A"/>
        </w:rPr>
        <w:t xml:space="preserve">Specific Objective 2. To characterize the specific system barriers that hinder the immunization of NAMs and propose possible </w:t>
      </w:r>
      <w:proofErr w:type="gramStart"/>
      <w:r>
        <w:rPr>
          <w:color w:val="1A1A1A"/>
        </w:rPr>
        <w:t>solutions</w:t>
      </w:r>
      <w:proofErr w:type="gramEnd"/>
    </w:p>
    <w:p w14:paraId="7A6538F1" w14:textId="77777777" w:rsidR="00B3086F" w:rsidRDefault="00B3086F" w:rsidP="00B3086F">
      <w:pPr>
        <w:widowControl w:val="0"/>
        <w:pBdr>
          <w:top w:val="nil"/>
          <w:left w:val="nil"/>
          <w:bottom w:val="nil"/>
          <w:right w:val="nil"/>
          <w:between w:val="nil"/>
        </w:pBdr>
        <w:spacing w:after="120"/>
        <w:ind w:right="51"/>
        <w:jc w:val="both"/>
        <w:rPr>
          <w:color w:val="000000"/>
        </w:rPr>
      </w:pPr>
      <w:r>
        <w:rPr>
          <w:color w:val="000000"/>
        </w:rPr>
        <w:t>The work of this WP is divided into 5 tasks, Task 4.1 relates to the Desktop review object of this protocol.</w:t>
      </w:r>
    </w:p>
    <w:p w14:paraId="184681E5"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both"/>
        <w:rPr>
          <w:b/>
          <w:color w:val="7030A0"/>
        </w:rPr>
      </w:pPr>
      <w:r>
        <w:rPr>
          <w:b/>
          <w:color w:val="7030A0"/>
        </w:rPr>
        <w:t>Task 4.1 Desktop review on guidance for and barriers to immunization of NAMs</w:t>
      </w:r>
    </w:p>
    <w:p w14:paraId="63F1E9E8"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both"/>
      </w:pPr>
      <w:r>
        <w:t xml:space="preserve">Desktop non-systematic review of European and national level guidance and recommendations (WHO, ECDC, peer reviewed publications and grey literature) on immunization offer and practice for NAMs. The review will also search for barriers to the immunization of NAMs. The WP leader, with the support of a panel of subject matter experts from the consortium, will develop a protocol that will include the definition of system barriers and in particular the definition of legal, linguistic, </w:t>
      </w:r>
      <w:proofErr w:type="gramStart"/>
      <w:r>
        <w:t>cultural</w:t>
      </w:r>
      <w:proofErr w:type="gramEnd"/>
      <w:r>
        <w:t xml:space="preserve"> and logistic barriers, caused by the social and political contexts that NAMs face. Based on these definitions, all partners will collaborate to search at country level for existing information on these aspects in their respective countries in the last 10 years. The task will provide information and guidance to be used in the subsequent WP tasks. The WP leader (ISS) will carry on the review in collaboration with partners.</w:t>
      </w:r>
    </w:p>
    <w:p w14:paraId="52A76091" w14:textId="77777777" w:rsidR="00B3086F" w:rsidRDefault="00B3086F" w:rsidP="00B3086F">
      <w:pPr>
        <w:widowControl w:val="0"/>
        <w:pBdr>
          <w:top w:val="nil"/>
          <w:left w:val="nil"/>
          <w:bottom w:val="nil"/>
          <w:right w:val="nil"/>
          <w:between w:val="nil"/>
        </w:pBdr>
        <w:spacing w:after="120"/>
        <w:ind w:right="51"/>
        <w:jc w:val="both"/>
        <w:rPr>
          <w:color w:val="000000"/>
        </w:rPr>
      </w:pPr>
      <w:r>
        <w:rPr>
          <w:color w:val="000000"/>
        </w:rPr>
        <w:t xml:space="preserve">In order to fulfil these </w:t>
      </w:r>
      <w:proofErr w:type="gramStart"/>
      <w:r>
        <w:rPr>
          <w:color w:val="000000"/>
        </w:rPr>
        <w:t>tasks</w:t>
      </w:r>
      <w:proofErr w:type="gramEnd"/>
      <w:r>
        <w:rPr>
          <w:color w:val="000000"/>
        </w:rPr>
        <w:t xml:space="preserve"> the following methods will be used:</w:t>
      </w:r>
    </w:p>
    <w:p w14:paraId="7A307B1B" w14:textId="77777777" w:rsidR="00B3086F" w:rsidRDefault="00B3086F" w:rsidP="00B3086F">
      <w:pPr>
        <w:spacing w:after="120"/>
        <w:ind w:right="49"/>
        <w:jc w:val="both"/>
      </w:pPr>
      <w:r>
        <w:rPr>
          <w:b/>
        </w:rPr>
        <w:t>Desktop literature review of existing research</w:t>
      </w:r>
      <w:r>
        <w:t xml:space="preserve">. Classical desktop literature review will be implemented </w:t>
      </w:r>
      <w:proofErr w:type="gramStart"/>
      <w:r>
        <w:t>in order to</w:t>
      </w:r>
      <w:proofErr w:type="gramEnd"/>
      <w:r>
        <w:t xml:space="preserve"> describe the </w:t>
      </w:r>
      <w:r>
        <w:rPr>
          <w:b/>
        </w:rPr>
        <w:t>state of the art of guidance and practice recommendations</w:t>
      </w:r>
      <w:r>
        <w:t xml:space="preserve"> on immunization of NAMs at European level and in each consortium country.</w:t>
      </w:r>
    </w:p>
    <w:p w14:paraId="30EFB23F" w14:textId="77777777" w:rsidR="00B3086F" w:rsidRDefault="00B3086F" w:rsidP="00B3086F">
      <w:pPr>
        <w:spacing w:after="120"/>
        <w:jc w:val="both"/>
      </w:pPr>
      <w:r>
        <w:rPr>
          <w:b/>
        </w:rPr>
        <w:t xml:space="preserve">Desktop literature review </w:t>
      </w:r>
      <w:r>
        <w:t xml:space="preserve">will be implemented, also at country level, to identify existing research concerning </w:t>
      </w:r>
      <w:r>
        <w:rPr>
          <w:b/>
        </w:rPr>
        <w:t>system barriers</w:t>
      </w:r>
      <w:r>
        <w:t xml:space="preserve"> at legal, linguistic, </w:t>
      </w:r>
      <w:proofErr w:type="gramStart"/>
      <w:r>
        <w:t>cultural</w:t>
      </w:r>
      <w:proofErr w:type="gramEnd"/>
      <w:r>
        <w:t xml:space="preserve"> and logistic level </w:t>
      </w:r>
      <w:r>
        <w:rPr>
          <w:b/>
        </w:rPr>
        <w:t>and solutions</w:t>
      </w:r>
      <w:r>
        <w:t xml:space="preserve"> already implemented to overcome them.</w:t>
      </w:r>
    </w:p>
    <w:p w14:paraId="7695E30A" w14:textId="77777777" w:rsidR="00B3086F" w:rsidRDefault="00B3086F" w:rsidP="00B3086F">
      <w:pPr>
        <w:spacing w:after="120"/>
        <w:jc w:val="both"/>
      </w:pPr>
    </w:p>
    <w:p w14:paraId="6F33F3C3" w14:textId="77777777" w:rsidR="00B3086F" w:rsidRDefault="00B3086F" w:rsidP="00B3086F">
      <w:pPr>
        <w:spacing w:after="120"/>
        <w:jc w:val="both"/>
      </w:pPr>
      <w:r>
        <w:br w:type="column"/>
      </w:r>
    </w:p>
    <w:p w14:paraId="371B66DE" w14:textId="77777777" w:rsidR="00B3086F" w:rsidRDefault="00B3086F" w:rsidP="00B3086F">
      <w:pPr>
        <w:pBdr>
          <w:top w:val="single" w:sz="4" w:space="1" w:color="000000"/>
          <w:left w:val="single" w:sz="4" w:space="1" w:color="000000"/>
          <w:bottom w:val="single" w:sz="4" w:space="1" w:color="000000"/>
          <w:right w:val="single" w:sz="4" w:space="1" w:color="000000"/>
        </w:pBdr>
        <w:jc w:val="center"/>
        <w:rPr>
          <w:b/>
          <w:color w:val="7030A0"/>
        </w:rPr>
      </w:pPr>
      <w:r>
        <w:rPr>
          <w:b/>
          <w:color w:val="7030A0"/>
        </w:rPr>
        <w:t>Non-systematic review protocol of</w:t>
      </w:r>
    </w:p>
    <w:p w14:paraId="31462333" w14:textId="77777777" w:rsidR="00B3086F" w:rsidRDefault="00B3086F" w:rsidP="00B3086F">
      <w:pPr>
        <w:pBdr>
          <w:top w:val="single" w:sz="4" w:space="1" w:color="000000"/>
          <w:left w:val="single" w:sz="4" w:space="1" w:color="000000"/>
          <w:bottom w:val="single" w:sz="4" w:space="1" w:color="000000"/>
          <w:right w:val="single" w:sz="4" w:space="1" w:color="000000"/>
        </w:pBdr>
        <w:jc w:val="center"/>
        <w:rPr>
          <w:b/>
          <w:color w:val="7030A0"/>
        </w:rPr>
      </w:pPr>
      <w:r>
        <w:rPr>
          <w:b/>
          <w:color w:val="7030A0"/>
        </w:rPr>
        <w:t>system barriers (legal, linguistic, cultural, logistic) to immunization of NAMs</w:t>
      </w:r>
    </w:p>
    <w:p w14:paraId="6AC1191E" w14:textId="77777777" w:rsidR="00B3086F" w:rsidRDefault="00B3086F" w:rsidP="00B3086F">
      <w:pPr>
        <w:pBdr>
          <w:top w:val="single" w:sz="4" w:space="1" w:color="000000"/>
          <w:left w:val="single" w:sz="4" w:space="1" w:color="000000"/>
          <w:bottom w:val="single" w:sz="4" w:space="1" w:color="000000"/>
          <w:right w:val="single" w:sz="4" w:space="1" w:color="000000"/>
        </w:pBdr>
        <w:jc w:val="center"/>
        <w:rPr>
          <w:b/>
          <w:color w:val="7030A0"/>
        </w:rPr>
      </w:pPr>
      <w:r>
        <w:rPr>
          <w:b/>
          <w:color w:val="7030A0"/>
        </w:rPr>
        <w:t xml:space="preserve">and solutions already implemented to overcome </w:t>
      </w:r>
      <w:proofErr w:type="gramStart"/>
      <w:r>
        <w:rPr>
          <w:b/>
          <w:color w:val="7030A0"/>
        </w:rPr>
        <w:t>them</w:t>
      </w:r>
      <w:proofErr w:type="gramEnd"/>
    </w:p>
    <w:p w14:paraId="0CED7994" w14:textId="77777777" w:rsidR="00B3086F" w:rsidRDefault="00B3086F" w:rsidP="00B3086F">
      <w:pPr>
        <w:spacing w:after="120"/>
        <w:jc w:val="both"/>
        <w:rPr>
          <w:color w:val="000000"/>
        </w:rPr>
      </w:pPr>
    </w:p>
    <w:p w14:paraId="0D5DE8E7" w14:textId="77777777" w:rsidR="00B3086F" w:rsidRDefault="00B3086F" w:rsidP="00B3086F">
      <w:pPr>
        <w:spacing w:after="120"/>
        <w:jc w:val="both"/>
        <w:rPr>
          <w:color w:val="000000"/>
        </w:rPr>
      </w:pPr>
      <w:r>
        <w:rPr>
          <w:color w:val="000000"/>
        </w:rPr>
        <w:t xml:space="preserve">In addition to the </w:t>
      </w:r>
      <w:r>
        <w:rPr>
          <w:color w:val="000000"/>
          <w:u w:val="single"/>
        </w:rPr>
        <w:t>barriers</w:t>
      </w:r>
      <w:r>
        <w:rPr>
          <w:color w:val="000000"/>
        </w:rPr>
        <w:t xml:space="preserve"> (legal, linguistic, cultural, logistical, etc.), the review will consider </w:t>
      </w:r>
      <w:r>
        <w:rPr>
          <w:color w:val="000000"/>
          <w:u w:val="single"/>
        </w:rPr>
        <w:t>solutions to overcome these barriers and implementation challenges</w:t>
      </w:r>
      <w:r>
        <w:rPr>
          <w:color w:val="000000"/>
        </w:rPr>
        <w:t>.</w:t>
      </w:r>
    </w:p>
    <w:p w14:paraId="6C6C8854" w14:textId="410DEC03" w:rsidR="00B3086F" w:rsidRDefault="00B3086F" w:rsidP="00B3086F">
      <w:pPr>
        <w:spacing w:after="120"/>
        <w:jc w:val="both"/>
        <w:rPr>
          <w:color w:val="000000"/>
        </w:rPr>
      </w:pPr>
      <w:r>
        <w:rPr>
          <w:color w:val="000000"/>
        </w:rPr>
        <w:t xml:space="preserve">A </w:t>
      </w:r>
      <w:r>
        <w:rPr>
          <w:color w:val="000000"/>
          <w:u w:val="single"/>
        </w:rPr>
        <w:t>specific section</w:t>
      </w:r>
      <w:r>
        <w:rPr>
          <w:color w:val="000000"/>
        </w:rPr>
        <w:t xml:space="preserve"> of the search will be dedicated to the analysis of specific policies and practices in place for vaccination against COVID-19 disease. As such, campaigns present different and specific characteristics and challenges it is of relevance to be able to document in the results what has emerged in terms of specific approaches proposed and/or implemented to ensure equity in terms of access to COVID-19 vaccines. In addition, it is thought that given the specific push to consider underserved populations in times of the pandemic, </w:t>
      </w:r>
      <w:proofErr w:type="gramStart"/>
      <w:r>
        <w:rPr>
          <w:color w:val="000000"/>
        </w:rPr>
        <w:t>a number of</w:t>
      </w:r>
      <w:proofErr w:type="gramEnd"/>
      <w:r>
        <w:rPr>
          <w:color w:val="000000"/>
        </w:rPr>
        <w:t xml:space="preserve"> very critical lessons could be learnt that can be transferred to other routine vaccinations as well, applying the same tools/methods that may have worked for vaccination against COVID-19. As the latter is high on the political agenda, suggestions could be made from the analysis as to how policy approaches could change and learn/be adapted from the recent experiences.</w:t>
      </w:r>
    </w:p>
    <w:p w14:paraId="1AB6DD4D" w14:textId="77777777" w:rsidR="00B3086F" w:rsidRDefault="00B3086F" w:rsidP="00B3086F">
      <w:pPr>
        <w:spacing w:after="120"/>
        <w:jc w:val="both"/>
        <w:rPr>
          <w:b/>
          <w:color w:val="7030A0"/>
        </w:rPr>
      </w:pPr>
      <w:r>
        <w:rPr>
          <w:b/>
          <w:color w:val="7030A0"/>
        </w:rPr>
        <w:t>a) system barriers to immunization of NAMs and solutions implemented</w:t>
      </w:r>
    </w:p>
    <w:p w14:paraId="7454A444" w14:textId="77777777" w:rsidR="00B3086F" w:rsidRDefault="00B3086F" w:rsidP="00B3086F">
      <w:pPr>
        <w:spacing w:after="120"/>
        <w:jc w:val="both"/>
        <w:rPr>
          <w:color w:val="000000"/>
        </w:rPr>
      </w:pPr>
      <w:r>
        <w:rPr>
          <w:b/>
          <w:color w:val="000000"/>
        </w:rPr>
        <w:t>Research strategy for Medline:</w:t>
      </w:r>
      <w:r>
        <w:rPr>
          <w:color w:val="000000"/>
        </w:rPr>
        <w:t xml:space="preserve"> (immunization OR vaccination OR vaccination plan OR vaccine) AND ((migrant OR newly arrived migrants OR undocumented migrants OR irregular migrants OR illegal migrants OR asylum seekers OR foreigners) OR (regular migrants OR documented migrants OR refugees)) AND (barriers OR access OR obstacles OR difficulties OR accessibility OR utilization OR delivery OR uptake OR supply OR hard-to-reach OR equity OR acceptance OR hesitancy OR facilitator OR solution OR effectiveness OR best practice)</w:t>
      </w:r>
    </w:p>
    <w:p w14:paraId="6E2EC7FA" w14:textId="77777777" w:rsidR="00B3086F" w:rsidRDefault="00B3086F" w:rsidP="00B3086F">
      <w:pPr>
        <w:spacing w:after="120"/>
        <w:jc w:val="both"/>
        <w:rPr>
          <w:color w:val="000000"/>
        </w:rPr>
      </w:pPr>
      <w:r>
        <w:rPr>
          <w:b/>
          <w:color w:val="000000"/>
        </w:rPr>
        <w:t>Keywords for other websites</w:t>
      </w:r>
      <w:r>
        <w:rPr>
          <w:color w:val="000000"/>
        </w:rPr>
        <w:t>: immunization, vaccination, vaccine, migrants, asylum seekers, refugees, foreigners, barriers, access, obstacles, difficulties, accessibility, utilization, delivery, uptake, supply, hard-to-reach, equity, hesitancy, solution, effectiveness, best practice</w:t>
      </w:r>
    </w:p>
    <w:p w14:paraId="13BAA4A7" w14:textId="77777777" w:rsidR="00B3086F" w:rsidRDefault="00B3086F" w:rsidP="00B3086F">
      <w:pPr>
        <w:spacing w:after="120"/>
        <w:jc w:val="both"/>
        <w:rPr>
          <w:b/>
          <w:color w:val="7030A0"/>
        </w:rPr>
      </w:pPr>
      <w:r>
        <w:rPr>
          <w:b/>
          <w:color w:val="7030A0"/>
        </w:rPr>
        <w:t>b) Focus on COVID-19 vaccination</w:t>
      </w:r>
    </w:p>
    <w:p w14:paraId="7A4B649E" w14:textId="77777777" w:rsidR="00B3086F" w:rsidRDefault="00B3086F" w:rsidP="00B3086F">
      <w:pPr>
        <w:spacing w:after="120"/>
        <w:jc w:val="both"/>
        <w:rPr>
          <w:color w:val="000000"/>
        </w:rPr>
      </w:pPr>
      <w:r>
        <w:rPr>
          <w:b/>
          <w:color w:val="000000"/>
        </w:rPr>
        <w:t>Research strategy for Medline:</w:t>
      </w:r>
      <w:r>
        <w:rPr>
          <w:color w:val="000000"/>
        </w:rPr>
        <w:t xml:space="preserve"> (immunization OR vaccination OR vaccination plan OR vaccine) AND ((migrant OR newly arrived migrants OR undocumented migrants OR irregular migrants OR illegal migrants OR asylum seekers OR foreigners) OR (regular migrants OR documented migrants OR refugees)) AND (barriers OR access OR obstacles OR difficulties OR accessibility OR utilization OR delivery OR uptake OR supply OR hard-to-reach OR equity OR acceptance OR hesitancy OR facilitator OR solution) AND (COVID-19 OR Sars-Cov-2)</w:t>
      </w:r>
    </w:p>
    <w:p w14:paraId="39600C51" w14:textId="77777777" w:rsidR="00B3086F" w:rsidRDefault="00B3086F" w:rsidP="00B3086F">
      <w:pPr>
        <w:spacing w:after="120"/>
        <w:jc w:val="both"/>
        <w:rPr>
          <w:color w:val="000000"/>
        </w:rPr>
      </w:pPr>
      <w:r>
        <w:rPr>
          <w:b/>
          <w:color w:val="000000"/>
        </w:rPr>
        <w:t>Keywords for other websites:</w:t>
      </w:r>
      <w:r>
        <w:rPr>
          <w:color w:val="000000"/>
        </w:rPr>
        <w:t xml:space="preserve"> immunization, vaccination, vaccine, migrants, asylum seekers, refugees, foreigners, barriers, access, obstacles, difficulties, accessibility, utilization, delivery, uptake, supply, hard-to-reach, equity, hesitancy, solution, effectiveness, best practice, COVID-19, Sars-Cov-2 </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9"/>
        <w:gridCol w:w="5046"/>
      </w:tblGrid>
      <w:tr w:rsidR="00B3086F" w14:paraId="10A566E6" w14:textId="77777777" w:rsidTr="0036407A">
        <w:tc>
          <w:tcPr>
            <w:tcW w:w="10035" w:type="dxa"/>
            <w:gridSpan w:val="2"/>
          </w:tcPr>
          <w:p w14:paraId="34C55046" w14:textId="77777777" w:rsidR="00B3086F" w:rsidRDefault="00B3086F" w:rsidP="0036407A">
            <w:pPr>
              <w:widowControl w:val="0"/>
              <w:pBdr>
                <w:top w:val="nil"/>
                <w:left w:val="nil"/>
                <w:bottom w:val="nil"/>
                <w:right w:val="nil"/>
                <w:between w:val="nil"/>
              </w:pBdr>
              <w:spacing w:after="120"/>
              <w:jc w:val="center"/>
              <w:rPr>
                <w:color w:val="000000"/>
              </w:rPr>
            </w:pPr>
            <w:r>
              <w:rPr>
                <w:b/>
                <w:color w:val="7030A0"/>
              </w:rPr>
              <w:t>Website to explore</w:t>
            </w:r>
          </w:p>
        </w:tc>
      </w:tr>
      <w:tr w:rsidR="00B3086F" w14:paraId="2B7796EF" w14:textId="77777777" w:rsidTr="0036407A">
        <w:tc>
          <w:tcPr>
            <w:tcW w:w="4989" w:type="dxa"/>
          </w:tcPr>
          <w:p w14:paraId="34693463"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proofErr w:type="spellStart"/>
            <w:r>
              <w:rPr>
                <w:color w:val="000000"/>
              </w:rPr>
              <w:t>MedLine</w:t>
            </w:r>
            <w:proofErr w:type="spellEnd"/>
            <w:r>
              <w:rPr>
                <w:color w:val="000000"/>
              </w:rPr>
              <w:t>-PubMed, for a search in the scientific literature</w:t>
            </w:r>
          </w:p>
        </w:tc>
        <w:tc>
          <w:tcPr>
            <w:tcW w:w="5046" w:type="dxa"/>
          </w:tcPr>
          <w:p w14:paraId="430B8199"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EC - European website on integration</w:t>
            </w:r>
          </w:p>
        </w:tc>
      </w:tr>
      <w:tr w:rsidR="00B3086F" w14:paraId="6B536D36" w14:textId="77777777" w:rsidTr="0036407A">
        <w:tc>
          <w:tcPr>
            <w:tcW w:w="4989" w:type="dxa"/>
          </w:tcPr>
          <w:p w14:paraId="25E62C30"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WHO</w:t>
            </w:r>
          </w:p>
        </w:tc>
        <w:tc>
          <w:tcPr>
            <w:tcW w:w="5046" w:type="dxa"/>
          </w:tcPr>
          <w:p w14:paraId="0A39ED5B"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EC – European Observatory on Health Systems and Policies</w:t>
            </w:r>
          </w:p>
        </w:tc>
      </w:tr>
      <w:tr w:rsidR="00B3086F" w14:paraId="11A19AF0" w14:textId="77777777" w:rsidTr="0036407A">
        <w:tc>
          <w:tcPr>
            <w:tcW w:w="4989" w:type="dxa"/>
          </w:tcPr>
          <w:p w14:paraId="7A919072"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WHO Europe</w:t>
            </w:r>
          </w:p>
        </w:tc>
        <w:tc>
          <w:tcPr>
            <w:tcW w:w="5046" w:type="dxa"/>
          </w:tcPr>
          <w:p w14:paraId="3D5F71E8"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EUPHA</w:t>
            </w:r>
          </w:p>
        </w:tc>
      </w:tr>
      <w:tr w:rsidR="00B3086F" w14:paraId="322F1F7C" w14:textId="77777777" w:rsidTr="0036407A">
        <w:tc>
          <w:tcPr>
            <w:tcW w:w="4989" w:type="dxa"/>
          </w:tcPr>
          <w:p w14:paraId="7FC1B1DD"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WHO PHAME Public Health Aspects of Migration in Europe</w:t>
            </w:r>
          </w:p>
        </w:tc>
        <w:tc>
          <w:tcPr>
            <w:tcW w:w="5046" w:type="dxa"/>
          </w:tcPr>
          <w:p w14:paraId="44D172D5"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PICUM (Platform for International Cooperation on Undocumented Migrants)</w:t>
            </w:r>
          </w:p>
        </w:tc>
      </w:tr>
      <w:tr w:rsidR="00B3086F" w14:paraId="048B1D1E" w14:textId="77777777" w:rsidTr="0036407A">
        <w:tc>
          <w:tcPr>
            <w:tcW w:w="4989" w:type="dxa"/>
          </w:tcPr>
          <w:p w14:paraId="54D7A42C"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UNHCR</w:t>
            </w:r>
          </w:p>
        </w:tc>
        <w:tc>
          <w:tcPr>
            <w:tcW w:w="5046" w:type="dxa"/>
          </w:tcPr>
          <w:p w14:paraId="6FC21ACD"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proofErr w:type="spellStart"/>
            <w:r>
              <w:rPr>
                <w:color w:val="000000"/>
              </w:rPr>
              <w:t>Reliefweb</w:t>
            </w:r>
            <w:proofErr w:type="spellEnd"/>
          </w:p>
        </w:tc>
      </w:tr>
      <w:tr w:rsidR="00B3086F" w14:paraId="766B580F" w14:textId="77777777" w:rsidTr="0036407A">
        <w:tc>
          <w:tcPr>
            <w:tcW w:w="4989" w:type="dxa"/>
          </w:tcPr>
          <w:p w14:paraId="67E8B813"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UNICEF</w:t>
            </w:r>
          </w:p>
        </w:tc>
        <w:tc>
          <w:tcPr>
            <w:tcW w:w="5046" w:type="dxa"/>
          </w:tcPr>
          <w:p w14:paraId="65EAA93C"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COVAX</w:t>
            </w:r>
          </w:p>
        </w:tc>
      </w:tr>
      <w:tr w:rsidR="00B3086F" w14:paraId="43186CFF" w14:textId="77777777" w:rsidTr="0036407A">
        <w:tc>
          <w:tcPr>
            <w:tcW w:w="4989" w:type="dxa"/>
          </w:tcPr>
          <w:p w14:paraId="0F1E1B8F"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United Nations High Commissioner for Human Rights (OHCHR)</w:t>
            </w:r>
          </w:p>
        </w:tc>
        <w:tc>
          <w:tcPr>
            <w:tcW w:w="5046" w:type="dxa"/>
          </w:tcPr>
          <w:p w14:paraId="1113E3D7"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GAVI</w:t>
            </w:r>
          </w:p>
        </w:tc>
      </w:tr>
      <w:tr w:rsidR="00B3086F" w14:paraId="39EA1CB2" w14:textId="77777777" w:rsidTr="0036407A">
        <w:tc>
          <w:tcPr>
            <w:tcW w:w="4989" w:type="dxa"/>
          </w:tcPr>
          <w:p w14:paraId="1B1A4DD4"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CMW (UN Committee on Migrant Workers)</w:t>
            </w:r>
          </w:p>
        </w:tc>
        <w:tc>
          <w:tcPr>
            <w:tcW w:w="5046" w:type="dxa"/>
          </w:tcPr>
          <w:p w14:paraId="5B2873AA"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 xml:space="preserve">MSF </w:t>
            </w:r>
            <w:proofErr w:type="spellStart"/>
            <w:r>
              <w:rPr>
                <w:color w:val="000000"/>
              </w:rPr>
              <w:t>Medicins</w:t>
            </w:r>
            <w:proofErr w:type="spellEnd"/>
            <w:r>
              <w:rPr>
                <w:color w:val="000000"/>
              </w:rPr>
              <w:t xml:space="preserve"> sans </w:t>
            </w:r>
            <w:proofErr w:type="spellStart"/>
            <w:r>
              <w:rPr>
                <w:color w:val="000000"/>
              </w:rPr>
              <w:t>Frontieres</w:t>
            </w:r>
            <w:proofErr w:type="spellEnd"/>
          </w:p>
        </w:tc>
      </w:tr>
      <w:tr w:rsidR="00B3086F" w14:paraId="50FB0E44" w14:textId="77777777" w:rsidTr="0036407A">
        <w:tc>
          <w:tcPr>
            <w:tcW w:w="4989" w:type="dxa"/>
          </w:tcPr>
          <w:p w14:paraId="655BADA1"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UN Special Rapporteur on the Human Rights of Migrants</w:t>
            </w:r>
          </w:p>
        </w:tc>
        <w:tc>
          <w:tcPr>
            <w:tcW w:w="5046" w:type="dxa"/>
          </w:tcPr>
          <w:p w14:paraId="0920F8F2"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 xml:space="preserve">Project PROMOVAX </w:t>
            </w:r>
            <w:hyperlink r:id="rId7">
              <w:r>
                <w:rPr>
                  <w:color w:val="0000FF"/>
                  <w:u w:val="single"/>
                </w:rPr>
                <w:t>http://www.promovax.eu/</w:t>
              </w:r>
            </w:hyperlink>
            <w:r>
              <w:rPr>
                <w:color w:val="000000"/>
              </w:rPr>
              <w:t xml:space="preserve"> </w:t>
            </w:r>
          </w:p>
        </w:tc>
      </w:tr>
      <w:tr w:rsidR="00B3086F" w14:paraId="3D0DF583" w14:textId="77777777" w:rsidTr="0036407A">
        <w:tc>
          <w:tcPr>
            <w:tcW w:w="4989" w:type="dxa"/>
          </w:tcPr>
          <w:p w14:paraId="4A5F22F1"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IOM</w:t>
            </w:r>
          </w:p>
        </w:tc>
        <w:tc>
          <w:tcPr>
            <w:tcW w:w="5046" w:type="dxa"/>
          </w:tcPr>
          <w:p w14:paraId="3ECC4208"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Project</w:t>
            </w:r>
            <w:r>
              <w:rPr>
                <w:color w:val="333333"/>
              </w:rPr>
              <w:t xml:space="preserve"> CARE–Common Approach for </w:t>
            </w:r>
            <w:proofErr w:type="spellStart"/>
            <w:r>
              <w:rPr>
                <w:color w:val="333333"/>
              </w:rPr>
              <w:t>REfugees</w:t>
            </w:r>
            <w:proofErr w:type="spellEnd"/>
            <w:r>
              <w:rPr>
                <w:color w:val="333333"/>
              </w:rPr>
              <w:t xml:space="preserve"> and other migrants’ health”</w:t>
            </w:r>
            <w:r>
              <w:rPr>
                <w:color w:val="000000"/>
              </w:rPr>
              <w:t xml:space="preserve">  </w:t>
            </w:r>
            <w:hyperlink r:id="rId8">
              <w:r>
                <w:rPr>
                  <w:color w:val="0000FF"/>
                  <w:u w:val="single"/>
                </w:rPr>
                <w:t>http://careformigrants.eu/</w:t>
              </w:r>
            </w:hyperlink>
            <w:r>
              <w:rPr>
                <w:color w:val="000000"/>
              </w:rPr>
              <w:t xml:space="preserve"> </w:t>
            </w:r>
          </w:p>
        </w:tc>
      </w:tr>
      <w:tr w:rsidR="00B3086F" w14:paraId="099586B3" w14:textId="77777777" w:rsidTr="0036407A">
        <w:tc>
          <w:tcPr>
            <w:tcW w:w="4989" w:type="dxa"/>
          </w:tcPr>
          <w:p w14:paraId="5B907CCD"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ECDC</w:t>
            </w:r>
          </w:p>
        </w:tc>
        <w:tc>
          <w:tcPr>
            <w:tcW w:w="5046" w:type="dxa"/>
          </w:tcPr>
          <w:p w14:paraId="5110B8FC"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 xml:space="preserve">Mig-HealthCare Project </w:t>
            </w:r>
            <w:hyperlink r:id="rId9">
              <w:r>
                <w:rPr>
                  <w:color w:val="0000FF"/>
                  <w:u w:val="single"/>
                </w:rPr>
                <w:t>https://www.mighealthcare.eu/</w:t>
              </w:r>
            </w:hyperlink>
          </w:p>
        </w:tc>
      </w:tr>
      <w:tr w:rsidR="00B3086F" w14:paraId="28433D60" w14:textId="77777777" w:rsidTr="0036407A">
        <w:tc>
          <w:tcPr>
            <w:tcW w:w="4989" w:type="dxa"/>
          </w:tcPr>
          <w:p w14:paraId="485D2AC3"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Council of Europe</w:t>
            </w:r>
          </w:p>
        </w:tc>
        <w:tc>
          <w:tcPr>
            <w:tcW w:w="5046" w:type="dxa"/>
          </w:tcPr>
          <w:p w14:paraId="393E5B59"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 xml:space="preserve">Project </w:t>
            </w:r>
            <w:proofErr w:type="spellStart"/>
            <w:r>
              <w:rPr>
                <w:color w:val="000000"/>
              </w:rPr>
              <w:t>MyHealth</w:t>
            </w:r>
            <w:proofErr w:type="spellEnd"/>
            <w:r>
              <w:rPr>
                <w:color w:val="000000"/>
              </w:rPr>
              <w:t xml:space="preserve"> </w:t>
            </w:r>
            <w:hyperlink r:id="rId10">
              <w:r>
                <w:rPr>
                  <w:color w:val="0000FF"/>
                  <w:u w:val="single"/>
                </w:rPr>
                <w:t>http://www.healthonthemove.net/it/</w:t>
              </w:r>
            </w:hyperlink>
            <w:r>
              <w:rPr>
                <w:color w:val="000000"/>
              </w:rPr>
              <w:t xml:space="preserve"> </w:t>
            </w:r>
          </w:p>
        </w:tc>
      </w:tr>
      <w:tr w:rsidR="00B3086F" w14:paraId="7AF45297" w14:textId="77777777" w:rsidTr="0036407A">
        <w:tc>
          <w:tcPr>
            <w:tcW w:w="4989" w:type="dxa"/>
          </w:tcPr>
          <w:p w14:paraId="36964FC3" w14:textId="77777777" w:rsidR="00B3086F" w:rsidRDefault="00B3086F" w:rsidP="00B3086F">
            <w:pPr>
              <w:widowControl w:val="0"/>
              <w:numPr>
                <w:ilvl w:val="0"/>
                <w:numId w:val="8"/>
              </w:numPr>
              <w:pBdr>
                <w:top w:val="nil"/>
                <w:left w:val="nil"/>
                <w:bottom w:val="nil"/>
                <w:right w:val="nil"/>
                <w:between w:val="nil"/>
              </w:pBdr>
              <w:spacing w:after="120" w:line="240" w:lineRule="auto"/>
              <w:ind w:left="321" w:hanging="321"/>
              <w:jc w:val="both"/>
              <w:rPr>
                <w:color w:val="000000"/>
              </w:rPr>
            </w:pPr>
            <w:r>
              <w:rPr>
                <w:color w:val="000000"/>
              </w:rPr>
              <w:t>European Commission</w:t>
            </w:r>
          </w:p>
        </w:tc>
        <w:tc>
          <w:tcPr>
            <w:tcW w:w="5046" w:type="dxa"/>
          </w:tcPr>
          <w:p w14:paraId="3F7EB50C" w14:textId="77777777" w:rsidR="00B3086F" w:rsidRDefault="00B3086F" w:rsidP="0036407A">
            <w:pPr>
              <w:spacing w:after="120"/>
              <w:rPr>
                <w:color w:val="000000"/>
              </w:rPr>
            </w:pPr>
          </w:p>
        </w:tc>
      </w:tr>
    </w:tbl>
    <w:p w14:paraId="0A1164C4" w14:textId="77777777" w:rsidR="00B3086F" w:rsidRDefault="00B3086F" w:rsidP="00B3086F">
      <w:pPr>
        <w:spacing w:after="120"/>
        <w:rPr>
          <w:color w:val="000000"/>
        </w:rPr>
      </w:pPr>
    </w:p>
    <w:p w14:paraId="58537B0F"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center"/>
        <w:rPr>
          <w:b/>
          <w:color w:val="7030A0"/>
        </w:rPr>
      </w:pPr>
      <w:r>
        <w:rPr>
          <w:b/>
          <w:color w:val="7030A0"/>
        </w:rPr>
        <w:t>Inclusion Criteria</w:t>
      </w:r>
    </w:p>
    <w:p w14:paraId="15A4CFB6" w14:textId="77777777" w:rsidR="00B3086F" w:rsidRDefault="00B3086F" w:rsidP="00B3086F">
      <w:pPr>
        <w:spacing w:after="120"/>
        <w:jc w:val="both"/>
        <w:rPr>
          <w:color w:val="000000"/>
        </w:rPr>
      </w:pPr>
      <w:r>
        <w:rPr>
          <w:color w:val="000000"/>
        </w:rPr>
        <w:t>The following criteria, not included in the search strings, should be applied during the selection of relevant documents to be selected:</w:t>
      </w:r>
    </w:p>
    <w:p w14:paraId="6EC123C0" w14:textId="77777777" w:rsidR="00B3086F" w:rsidRDefault="00B3086F" w:rsidP="00B3086F">
      <w:pPr>
        <w:widowControl w:val="0"/>
        <w:numPr>
          <w:ilvl w:val="0"/>
          <w:numId w:val="6"/>
        </w:numPr>
        <w:pBdr>
          <w:top w:val="nil"/>
          <w:left w:val="nil"/>
          <w:bottom w:val="nil"/>
          <w:right w:val="nil"/>
          <w:between w:val="nil"/>
        </w:pBdr>
        <w:spacing w:after="120" w:line="240" w:lineRule="auto"/>
        <w:ind w:left="567" w:hanging="567"/>
        <w:jc w:val="both"/>
        <w:rPr>
          <w:color w:val="000000"/>
        </w:rPr>
      </w:pPr>
      <w:r>
        <w:rPr>
          <w:b/>
          <w:color w:val="000000"/>
        </w:rPr>
        <w:t>Time limits</w:t>
      </w:r>
      <w:r>
        <w:rPr>
          <w:color w:val="000000"/>
        </w:rPr>
        <w:t>: since 2014 when, given the larger influx of NAMs in EU, relevant analyses and documents in the field were available in the European context, taking into consideration only the most updated documents in presence of several documents of the same kind.</w:t>
      </w:r>
    </w:p>
    <w:p w14:paraId="02856428" w14:textId="77777777" w:rsidR="00B3086F" w:rsidRDefault="00B3086F" w:rsidP="00B3086F">
      <w:pPr>
        <w:widowControl w:val="0"/>
        <w:numPr>
          <w:ilvl w:val="0"/>
          <w:numId w:val="6"/>
        </w:numPr>
        <w:pBdr>
          <w:top w:val="nil"/>
          <w:left w:val="nil"/>
          <w:bottom w:val="nil"/>
          <w:right w:val="nil"/>
          <w:between w:val="nil"/>
        </w:pBdr>
        <w:spacing w:after="120" w:line="240" w:lineRule="auto"/>
        <w:ind w:left="567" w:hanging="567"/>
        <w:jc w:val="both"/>
        <w:rPr>
          <w:color w:val="000000"/>
        </w:rPr>
      </w:pPr>
      <w:r>
        <w:rPr>
          <w:color w:val="000000"/>
        </w:rPr>
        <w:t xml:space="preserve">Documents included must refer to </w:t>
      </w:r>
      <w:r>
        <w:rPr>
          <w:b/>
          <w:color w:val="000000"/>
        </w:rPr>
        <w:t>newly/recently arrived migrants</w:t>
      </w:r>
      <w:r>
        <w:rPr>
          <w:color w:val="000000"/>
        </w:rPr>
        <w:t xml:space="preserve"> based on the definition used for the project</w:t>
      </w:r>
      <w:r>
        <w:rPr>
          <w:i/>
          <w:color w:val="000000"/>
        </w:rPr>
        <w:t>.</w:t>
      </w:r>
    </w:p>
    <w:p w14:paraId="525FF91E" w14:textId="77777777" w:rsidR="00B3086F" w:rsidRDefault="00B3086F" w:rsidP="00B3086F">
      <w:pPr>
        <w:widowControl w:val="0"/>
        <w:numPr>
          <w:ilvl w:val="0"/>
          <w:numId w:val="6"/>
        </w:numPr>
        <w:pBdr>
          <w:top w:val="nil"/>
          <w:left w:val="nil"/>
          <w:bottom w:val="nil"/>
          <w:right w:val="nil"/>
          <w:between w:val="nil"/>
        </w:pBdr>
        <w:spacing w:after="120" w:line="240" w:lineRule="auto"/>
        <w:ind w:left="567" w:hanging="567"/>
        <w:jc w:val="both"/>
        <w:rPr>
          <w:color w:val="000000"/>
        </w:rPr>
      </w:pPr>
      <w:r>
        <w:rPr>
          <w:color w:val="000000"/>
        </w:rPr>
        <w:t xml:space="preserve">Documents must refer on </w:t>
      </w:r>
      <w:r>
        <w:rPr>
          <w:b/>
          <w:color w:val="000000"/>
        </w:rPr>
        <w:t xml:space="preserve">EU Countries. </w:t>
      </w:r>
      <w:r>
        <w:rPr>
          <w:color w:val="000000"/>
        </w:rPr>
        <w:t>However,</w:t>
      </w:r>
      <w:r>
        <w:rPr>
          <w:b/>
          <w:color w:val="000000"/>
        </w:rPr>
        <w:t xml:space="preserve"> </w:t>
      </w:r>
      <w:r>
        <w:rPr>
          <w:color w:val="000000"/>
        </w:rPr>
        <w:t>as regards the barriers and possible solutions, it will also be useful to examine documents referring to non-EU developed countries, which could present situations applicable also in the EU context.</w:t>
      </w:r>
    </w:p>
    <w:p w14:paraId="46E4E2A5" w14:textId="77777777" w:rsidR="00B3086F" w:rsidRDefault="00B3086F" w:rsidP="00B3086F">
      <w:pPr>
        <w:spacing w:after="120"/>
        <w:rPr>
          <w:color w:val="000000"/>
        </w:rPr>
      </w:pPr>
    </w:p>
    <w:p w14:paraId="55D7B041"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center"/>
        <w:rPr>
          <w:b/>
          <w:color w:val="7030A0"/>
        </w:rPr>
      </w:pPr>
      <w:r>
        <w:rPr>
          <w:b/>
          <w:color w:val="7030A0"/>
        </w:rPr>
        <w:t>Division of Task between WP4 leader and consortium partners</w:t>
      </w:r>
    </w:p>
    <w:p w14:paraId="4E917F0F" w14:textId="77777777" w:rsidR="00B3086F" w:rsidRDefault="00B3086F" w:rsidP="00B3086F">
      <w:pPr>
        <w:spacing w:after="120"/>
        <w:rPr>
          <w:color w:val="000000"/>
        </w:rPr>
      </w:pPr>
      <w:r>
        <w:rPr>
          <w:color w:val="000000"/>
        </w:rPr>
        <w:t>The WP4 leader will perform the literature and document review in English, while the consortium partners will conduct the review in local language as explained in the next paragraph.</w:t>
      </w:r>
    </w:p>
    <w:p w14:paraId="3EC44D4C" w14:textId="77777777" w:rsidR="00B3086F" w:rsidRDefault="00B3086F" w:rsidP="00B3086F">
      <w:pPr>
        <w:spacing w:after="120"/>
        <w:rPr>
          <w:color w:val="000000"/>
        </w:rPr>
      </w:pPr>
    </w:p>
    <w:p w14:paraId="0BD63734" w14:textId="77777777" w:rsidR="00B3086F" w:rsidRDefault="00B3086F" w:rsidP="00B3086F">
      <w:pPr>
        <w:pBdr>
          <w:top w:val="single" w:sz="4" w:space="1" w:color="000000"/>
          <w:left w:val="single" w:sz="4" w:space="1" w:color="000000"/>
          <w:bottom w:val="single" w:sz="4" w:space="1" w:color="000000"/>
          <w:right w:val="single" w:sz="4" w:space="1" w:color="000000"/>
        </w:pBdr>
        <w:spacing w:after="120"/>
        <w:jc w:val="center"/>
        <w:rPr>
          <w:b/>
          <w:color w:val="7030A0"/>
        </w:rPr>
      </w:pPr>
      <w:r>
        <w:rPr>
          <w:b/>
          <w:color w:val="7030A0"/>
        </w:rPr>
        <w:t>Guidelines for consortium partners</w:t>
      </w:r>
    </w:p>
    <w:p w14:paraId="34106A28" w14:textId="77777777" w:rsidR="00B3086F" w:rsidRDefault="00B3086F" w:rsidP="00B3086F">
      <w:pPr>
        <w:spacing w:after="120"/>
        <w:jc w:val="both"/>
        <w:rPr>
          <w:color w:val="000000"/>
        </w:rPr>
      </w:pPr>
      <w:proofErr w:type="gramStart"/>
      <w:r>
        <w:rPr>
          <w:color w:val="000000"/>
        </w:rPr>
        <w:t>In order to</w:t>
      </w:r>
      <w:proofErr w:type="gramEnd"/>
      <w:r>
        <w:rPr>
          <w:color w:val="000000"/>
        </w:rPr>
        <w:t xml:space="preserve"> find scientific articles or documents not accessible in English, each referent of the </w:t>
      </w:r>
      <w:r>
        <w:rPr>
          <w:b/>
          <w:color w:val="000000"/>
        </w:rPr>
        <w:t>consortium Countries will be asked</w:t>
      </w:r>
      <w:r>
        <w:rPr>
          <w:color w:val="000000"/>
        </w:rPr>
        <w:t xml:space="preserve"> to integrate the search with materials in local languages or contained in websites not taken under consideration.</w:t>
      </w:r>
    </w:p>
    <w:p w14:paraId="74C55712" w14:textId="77777777" w:rsidR="00B3086F" w:rsidRDefault="00B3086F" w:rsidP="00B3086F">
      <w:pPr>
        <w:spacing w:after="120"/>
        <w:jc w:val="both"/>
        <w:rPr>
          <w:color w:val="000000"/>
        </w:rPr>
      </w:pPr>
      <w:r>
        <w:rPr>
          <w:color w:val="000000"/>
        </w:rPr>
        <w:t xml:space="preserve">The </w:t>
      </w:r>
      <w:r>
        <w:rPr>
          <w:b/>
          <w:color w:val="000000"/>
        </w:rPr>
        <w:t>kind of documents</w:t>
      </w:r>
      <w:r>
        <w:rPr>
          <w:color w:val="000000"/>
        </w:rPr>
        <w:t xml:space="preserve"> in </w:t>
      </w:r>
      <w:r>
        <w:rPr>
          <w:color w:val="000000"/>
          <w:u w:val="single"/>
        </w:rPr>
        <w:t>local language</w:t>
      </w:r>
      <w:r>
        <w:rPr>
          <w:color w:val="000000"/>
        </w:rPr>
        <w:t xml:space="preserve"> to be searched for are:</w:t>
      </w:r>
    </w:p>
    <w:p w14:paraId="51AA45E0"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Scientific literature</w:t>
      </w:r>
    </w:p>
    <w:p w14:paraId="0C47716E"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Guidance</w:t>
      </w:r>
    </w:p>
    <w:p w14:paraId="2BD72E47"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Guideline</w:t>
      </w:r>
    </w:p>
    <w:p w14:paraId="79171ECC"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Bulletin</w:t>
      </w:r>
    </w:p>
    <w:p w14:paraId="0705837B"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Report</w:t>
      </w:r>
    </w:p>
    <w:p w14:paraId="7991B376"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Legislation</w:t>
      </w:r>
    </w:p>
    <w:p w14:paraId="659EB565"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Policy document</w:t>
      </w:r>
    </w:p>
    <w:p w14:paraId="14A1C387"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Standard operating procedure</w:t>
      </w:r>
    </w:p>
    <w:p w14:paraId="1CD6D1BC" w14:textId="77777777" w:rsidR="00B3086F" w:rsidRDefault="00B3086F" w:rsidP="00B3086F">
      <w:pPr>
        <w:spacing w:after="120"/>
        <w:rPr>
          <w:b/>
        </w:rPr>
      </w:pPr>
    </w:p>
    <w:p w14:paraId="7838DBE8" w14:textId="77777777" w:rsidR="00B3086F" w:rsidRDefault="00B3086F" w:rsidP="00B3086F">
      <w:pPr>
        <w:spacing w:after="120"/>
        <w:jc w:val="both"/>
        <w:rPr>
          <w:color w:val="000000"/>
        </w:rPr>
      </w:pPr>
      <w:r>
        <w:rPr>
          <w:color w:val="000000"/>
        </w:rPr>
        <w:t>The keywords, to be translated in local language, to guide the search are:</w:t>
      </w:r>
    </w:p>
    <w:p w14:paraId="38593F7A" w14:textId="77777777" w:rsidR="00B3086F" w:rsidRDefault="00B3086F" w:rsidP="00B3086F">
      <w:pPr>
        <w:spacing w:after="120"/>
        <w:jc w:val="both"/>
        <w:rPr>
          <w:b/>
          <w:color w:val="000000"/>
        </w:rPr>
      </w:pPr>
      <w:r>
        <w:rPr>
          <w:b/>
          <w:color w:val="000000"/>
        </w:rPr>
        <w:t>For system barriers to immunization of NAMs and solutions implemented</w:t>
      </w:r>
    </w:p>
    <w:p w14:paraId="52E5103F" w14:textId="77777777" w:rsidR="00B3086F" w:rsidRDefault="00B3086F" w:rsidP="00B3086F">
      <w:pPr>
        <w:spacing w:after="120"/>
        <w:jc w:val="both"/>
        <w:rPr>
          <w:color w:val="000000"/>
        </w:rPr>
      </w:pPr>
      <w:r>
        <w:rPr>
          <w:color w:val="000000"/>
        </w:rPr>
        <w:t>immunization, vaccination, vaccine, migrants, asylum seekers, refugees, foreigners, barriers, access, obstacles, difficulties, accessibility, utilization, delivery, uptake, supply, hard-to-reach, equity, hesitancy, solution, effectiveness, best practice</w:t>
      </w:r>
    </w:p>
    <w:p w14:paraId="38AD346D" w14:textId="77777777" w:rsidR="00B3086F" w:rsidRDefault="00B3086F" w:rsidP="00B3086F">
      <w:pPr>
        <w:spacing w:after="120"/>
        <w:jc w:val="both"/>
        <w:rPr>
          <w:b/>
          <w:color w:val="000000"/>
        </w:rPr>
      </w:pPr>
      <w:r>
        <w:rPr>
          <w:b/>
          <w:color w:val="000000"/>
        </w:rPr>
        <w:t>for the focus on COVID-19 vaccination</w:t>
      </w:r>
    </w:p>
    <w:p w14:paraId="67C116E2" w14:textId="77777777" w:rsidR="00B3086F" w:rsidRDefault="00B3086F" w:rsidP="00B3086F">
      <w:pPr>
        <w:spacing w:after="120"/>
        <w:jc w:val="both"/>
      </w:pPr>
      <w:r>
        <w:rPr>
          <w:color w:val="000000"/>
        </w:rPr>
        <w:t>immunization, vaccination, vaccine, migrants, asylum seekers, refugees, foreigners, barriers, access, obstacles, difficulties, accessibility, utilization, delivery, uptake, supply, hard-to-reach, equity, hesitancy, solution, effectiveness, best practice, COVID-19, Sars-Cov-2</w:t>
      </w:r>
    </w:p>
    <w:p w14:paraId="7597BB68" w14:textId="77777777" w:rsidR="00B3086F" w:rsidRDefault="00B3086F" w:rsidP="00B3086F">
      <w:pPr>
        <w:pBdr>
          <w:top w:val="single" w:sz="4" w:space="1" w:color="000000"/>
          <w:left w:val="single" w:sz="4" w:space="4" w:color="000000"/>
          <w:bottom w:val="single" w:sz="4" w:space="1" w:color="000000"/>
          <w:right w:val="single" w:sz="4" w:space="4" w:color="000000"/>
        </w:pBdr>
        <w:shd w:val="clear" w:color="auto" w:fill="F2F2F2"/>
        <w:spacing w:after="120"/>
        <w:jc w:val="both"/>
        <w:rPr>
          <w:b/>
        </w:rPr>
      </w:pPr>
      <w:r>
        <w:rPr>
          <w:b/>
        </w:rPr>
        <w:t xml:space="preserve">Example of websites to be consulted for </w:t>
      </w:r>
      <w:proofErr w:type="gramStart"/>
      <w:r>
        <w:rPr>
          <w:b/>
        </w:rPr>
        <w:t>Italy</w:t>
      </w:r>
      <w:proofErr w:type="gramEnd"/>
    </w:p>
    <w:p w14:paraId="58FD86C8"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r>
        <w:rPr>
          <w:color w:val="000000"/>
        </w:rPr>
        <w:t xml:space="preserve">Scientific articles in Italian non indexed in </w:t>
      </w:r>
      <w:proofErr w:type="gramStart"/>
      <w:r>
        <w:rPr>
          <w:color w:val="000000"/>
        </w:rPr>
        <w:t>Medline</w:t>
      </w:r>
      <w:proofErr w:type="gramEnd"/>
    </w:p>
    <w:p w14:paraId="11288631"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r>
        <w:rPr>
          <w:color w:val="000000"/>
        </w:rPr>
        <w:t>Italian National Institute of Health (ISS)</w:t>
      </w:r>
    </w:p>
    <w:p w14:paraId="5AB0CFFA"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proofErr w:type="spellStart"/>
      <w:r>
        <w:rPr>
          <w:color w:val="000000"/>
        </w:rPr>
        <w:t>Epidemology</w:t>
      </w:r>
      <w:proofErr w:type="spellEnd"/>
      <w:r>
        <w:rPr>
          <w:color w:val="000000"/>
        </w:rPr>
        <w:t xml:space="preserve"> for Public Health (</w:t>
      </w:r>
      <w:proofErr w:type="spellStart"/>
      <w:r>
        <w:rPr>
          <w:color w:val="000000"/>
        </w:rPr>
        <w:t>EpiCentro</w:t>
      </w:r>
      <w:proofErr w:type="spellEnd"/>
      <w:r>
        <w:rPr>
          <w:color w:val="000000"/>
        </w:rPr>
        <w:t>-ISS)</w:t>
      </w:r>
    </w:p>
    <w:p w14:paraId="4C27A347"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r>
        <w:rPr>
          <w:color w:val="000000"/>
        </w:rPr>
        <w:t>National Institute for Health, Migration and Poverty (NIHMP)</w:t>
      </w:r>
    </w:p>
    <w:p w14:paraId="27AFC57E"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r>
        <w:rPr>
          <w:color w:val="000000"/>
        </w:rPr>
        <w:t>Italian Ministry of Health</w:t>
      </w:r>
    </w:p>
    <w:p w14:paraId="1D383F6D"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r>
        <w:rPr>
          <w:color w:val="000000"/>
        </w:rPr>
        <w:t>Italian Society of Migration Medicine and Congress Proceedings</w:t>
      </w:r>
    </w:p>
    <w:p w14:paraId="11E60B79"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r>
        <w:rPr>
          <w:color w:val="000000"/>
        </w:rPr>
        <w:t>Regional Health Authorities</w:t>
      </w:r>
    </w:p>
    <w:p w14:paraId="4152D063"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r>
        <w:rPr>
          <w:color w:val="000000"/>
        </w:rPr>
        <w:t xml:space="preserve">Salute </w:t>
      </w:r>
      <w:proofErr w:type="spellStart"/>
      <w:r>
        <w:rPr>
          <w:color w:val="000000"/>
        </w:rPr>
        <w:t>Internazionale</w:t>
      </w:r>
      <w:proofErr w:type="spellEnd"/>
    </w:p>
    <w:p w14:paraId="21113EFB"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proofErr w:type="spellStart"/>
      <w:r>
        <w:rPr>
          <w:color w:val="000000"/>
        </w:rPr>
        <w:t>Osservasalute</w:t>
      </w:r>
      <w:proofErr w:type="spellEnd"/>
    </w:p>
    <w:p w14:paraId="2DA9F4EF" w14:textId="77777777" w:rsidR="00B3086F"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rPr>
      </w:pPr>
      <w:proofErr w:type="spellStart"/>
      <w:r>
        <w:rPr>
          <w:color w:val="000000"/>
        </w:rPr>
        <w:t>Rapporto</w:t>
      </w:r>
      <w:proofErr w:type="spellEnd"/>
      <w:r>
        <w:rPr>
          <w:color w:val="000000"/>
        </w:rPr>
        <w:t xml:space="preserve"> IDOS</w:t>
      </w:r>
    </w:p>
    <w:p w14:paraId="6C262ED1" w14:textId="77777777" w:rsidR="00B3086F" w:rsidRPr="00D51123" w:rsidRDefault="00B3086F" w:rsidP="00B3086F">
      <w:pPr>
        <w:widowControl w:val="0"/>
        <w:numPr>
          <w:ilvl w:val="0"/>
          <w:numId w:val="5"/>
        </w:num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ind w:left="567" w:hanging="567"/>
        <w:jc w:val="both"/>
        <w:rPr>
          <w:color w:val="000000"/>
          <w:lang w:val="it-IT"/>
        </w:rPr>
      </w:pPr>
      <w:proofErr w:type="spellStart"/>
      <w:r w:rsidRPr="00D51123">
        <w:rPr>
          <w:color w:val="000000"/>
          <w:lang w:val="it-IT"/>
        </w:rPr>
        <w:t>Civil</w:t>
      </w:r>
      <w:proofErr w:type="spellEnd"/>
      <w:r w:rsidRPr="00D51123">
        <w:rPr>
          <w:color w:val="000000"/>
          <w:lang w:val="it-IT"/>
        </w:rPr>
        <w:t xml:space="preserve"> Society </w:t>
      </w:r>
      <w:proofErr w:type="spellStart"/>
      <w:r w:rsidRPr="00D51123">
        <w:rPr>
          <w:color w:val="000000"/>
          <w:lang w:val="it-IT"/>
        </w:rPr>
        <w:t>organizations</w:t>
      </w:r>
      <w:proofErr w:type="spellEnd"/>
      <w:r w:rsidRPr="00D51123">
        <w:rPr>
          <w:color w:val="000000"/>
          <w:lang w:val="it-IT"/>
        </w:rPr>
        <w:t xml:space="preserve">: ASGI, Emergency, Centro Astalli, Intersos, Medici contro la Tortura, </w:t>
      </w:r>
      <w:proofErr w:type="spellStart"/>
      <w:r w:rsidRPr="00D51123">
        <w:rPr>
          <w:color w:val="000000"/>
          <w:lang w:val="it-IT"/>
        </w:rPr>
        <w:t>Médecins</w:t>
      </w:r>
      <w:proofErr w:type="spellEnd"/>
      <w:r w:rsidRPr="00D51123">
        <w:rPr>
          <w:color w:val="000000"/>
          <w:lang w:val="it-IT"/>
        </w:rPr>
        <w:t xml:space="preserve"> </w:t>
      </w:r>
      <w:proofErr w:type="spellStart"/>
      <w:r w:rsidRPr="00D51123">
        <w:rPr>
          <w:color w:val="000000"/>
          <w:lang w:val="it-IT"/>
        </w:rPr>
        <w:t>du</w:t>
      </w:r>
      <w:proofErr w:type="spellEnd"/>
      <w:r w:rsidRPr="00D51123">
        <w:rPr>
          <w:color w:val="000000"/>
          <w:lang w:val="it-IT"/>
        </w:rPr>
        <w:t xml:space="preserve"> Monde, MEDU, Medici Senza Frontiere, Caritas italiana, Sanità di Frontiera.</w:t>
      </w:r>
    </w:p>
    <w:p w14:paraId="0FDEF865" w14:textId="77777777" w:rsidR="00B3086F" w:rsidRPr="00D51123" w:rsidRDefault="00B3086F" w:rsidP="00B3086F">
      <w:pPr>
        <w:spacing w:after="120"/>
        <w:jc w:val="both"/>
        <w:rPr>
          <w:color w:val="000000"/>
          <w:lang w:val="it-IT"/>
        </w:rPr>
      </w:pPr>
    </w:p>
    <w:p w14:paraId="77EC06E4" w14:textId="77777777" w:rsidR="00B3086F" w:rsidRDefault="00B3086F" w:rsidP="00B3086F">
      <w:pPr>
        <w:spacing w:after="120"/>
        <w:jc w:val="both"/>
      </w:pPr>
      <w:proofErr w:type="gramStart"/>
      <w:r>
        <w:rPr>
          <w:color w:val="000000"/>
        </w:rPr>
        <w:t>In order to</w:t>
      </w:r>
      <w:proofErr w:type="gramEnd"/>
      <w:r>
        <w:rPr>
          <w:color w:val="000000"/>
        </w:rPr>
        <w:t xml:space="preserve"> transfer to WP4 leader (ISS) </w:t>
      </w:r>
      <w:r>
        <w:t xml:space="preserve">relevant information from the consortium Countries, </w:t>
      </w:r>
      <w:r>
        <w:rPr>
          <w:b/>
        </w:rPr>
        <w:t>an information extraction grid in Excel is provided.</w:t>
      </w:r>
    </w:p>
    <w:p w14:paraId="34D14E9E" w14:textId="77777777" w:rsidR="00B3086F" w:rsidRDefault="00B3086F" w:rsidP="00B3086F">
      <w:pPr>
        <w:spacing w:after="120"/>
        <w:jc w:val="both"/>
      </w:pPr>
      <w:r>
        <w:t>All the information to be filled in should be translated in English.</w:t>
      </w:r>
    </w:p>
    <w:p w14:paraId="5CC1CB8E" w14:textId="77777777" w:rsidR="00B3086F" w:rsidRDefault="00B3086F" w:rsidP="00B3086F">
      <w:pPr>
        <w:spacing w:after="120"/>
        <w:jc w:val="both"/>
        <w:rPr>
          <w:color w:val="000000"/>
        </w:rPr>
      </w:pPr>
      <w:r>
        <w:rPr>
          <w:color w:val="000000"/>
        </w:rPr>
        <w:t>The Excel file has the following columns (information) to be filled in:</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7428"/>
      </w:tblGrid>
      <w:tr w:rsidR="00B3086F" w14:paraId="45BB45F0" w14:textId="77777777" w:rsidTr="0036407A">
        <w:trPr>
          <w:trHeight w:val="454"/>
        </w:trPr>
        <w:tc>
          <w:tcPr>
            <w:tcW w:w="2778" w:type="dxa"/>
            <w:tcBorders>
              <w:top w:val="single" w:sz="4" w:space="0" w:color="000000"/>
              <w:left w:val="dotted" w:sz="4" w:space="0" w:color="000000"/>
              <w:bottom w:val="single" w:sz="4" w:space="0" w:color="000000"/>
              <w:right w:val="dotted" w:sz="4" w:space="0" w:color="000000"/>
            </w:tcBorders>
            <w:shd w:val="clear" w:color="auto" w:fill="auto"/>
            <w:vAlign w:val="center"/>
          </w:tcPr>
          <w:p w14:paraId="11AADD5B" w14:textId="77777777" w:rsidR="00B3086F" w:rsidRDefault="00B3086F" w:rsidP="0036407A">
            <w:pPr>
              <w:spacing w:after="120"/>
              <w:rPr>
                <w:b/>
                <w:color w:val="000000"/>
              </w:rPr>
            </w:pPr>
            <w:r>
              <w:rPr>
                <w:b/>
                <w:color w:val="000000"/>
              </w:rPr>
              <w:t>Column name</w:t>
            </w:r>
          </w:p>
        </w:tc>
        <w:tc>
          <w:tcPr>
            <w:tcW w:w="7428" w:type="dxa"/>
            <w:tcBorders>
              <w:top w:val="single" w:sz="4" w:space="0" w:color="000000"/>
              <w:left w:val="dotted" w:sz="4" w:space="0" w:color="000000"/>
              <w:bottom w:val="single" w:sz="4" w:space="0" w:color="000000"/>
              <w:right w:val="dotted" w:sz="4" w:space="0" w:color="000000"/>
            </w:tcBorders>
            <w:vAlign w:val="center"/>
          </w:tcPr>
          <w:p w14:paraId="62FAAC92" w14:textId="77777777" w:rsidR="00B3086F" w:rsidRDefault="00B3086F" w:rsidP="0036407A">
            <w:pPr>
              <w:spacing w:after="120"/>
              <w:rPr>
                <w:b/>
                <w:color w:val="000000"/>
              </w:rPr>
            </w:pPr>
            <w:r>
              <w:rPr>
                <w:b/>
                <w:color w:val="000000"/>
              </w:rPr>
              <w:t>Description</w:t>
            </w:r>
          </w:p>
        </w:tc>
      </w:tr>
      <w:tr w:rsidR="00B3086F" w14:paraId="54130EC0" w14:textId="77777777" w:rsidTr="0036407A">
        <w:trPr>
          <w:trHeight w:val="397"/>
        </w:trPr>
        <w:tc>
          <w:tcPr>
            <w:tcW w:w="2778" w:type="dxa"/>
            <w:tcBorders>
              <w:top w:val="single" w:sz="4" w:space="0" w:color="000000"/>
              <w:left w:val="dotted" w:sz="4" w:space="0" w:color="000000"/>
              <w:bottom w:val="dotted" w:sz="4" w:space="0" w:color="000000"/>
              <w:right w:val="dotted" w:sz="4" w:space="0" w:color="000000"/>
            </w:tcBorders>
            <w:shd w:val="clear" w:color="auto" w:fill="auto"/>
            <w:vAlign w:val="center"/>
          </w:tcPr>
          <w:p w14:paraId="3C76ED6B" w14:textId="77777777" w:rsidR="00B3086F" w:rsidRDefault="00B3086F" w:rsidP="0036407A">
            <w:pPr>
              <w:spacing w:after="120"/>
              <w:rPr>
                <w:color w:val="000000"/>
              </w:rPr>
            </w:pPr>
            <w:r>
              <w:rPr>
                <w:color w:val="000000"/>
              </w:rPr>
              <w:t>Document progressive number</w:t>
            </w:r>
          </w:p>
        </w:tc>
        <w:tc>
          <w:tcPr>
            <w:tcW w:w="7428" w:type="dxa"/>
            <w:tcBorders>
              <w:top w:val="single" w:sz="4" w:space="0" w:color="000000"/>
              <w:left w:val="dotted" w:sz="4" w:space="0" w:color="000000"/>
              <w:bottom w:val="dotted" w:sz="4" w:space="0" w:color="000000"/>
              <w:right w:val="dotted" w:sz="4" w:space="0" w:color="000000"/>
            </w:tcBorders>
            <w:vAlign w:val="center"/>
          </w:tcPr>
          <w:p w14:paraId="397EE48F" w14:textId="77777777" w:rsidR="00B3086F" w:rsidRDefault="00B3086F" w:rsidP="0036407A">
            <w:pPr>
              <w:spacing w:after="120"/>
              <w:rPr>
                <w:color w:val="000000"/>
              </w:rPr>
            </w:pPr>
            <w:r>
              <w:t>Progressive identification number of the specific document</w:t>
            </w:r>
          </w:p>
        </w:tc>
      </w:tr>
      <w:tr w:rsidR="00B3086F" w14:paraId="09E21358"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A29BC8E" w14:textId="77777777" w:rsidR="00B3086F" w:rsidRDefault="00B3086F" w:rsidP="0036407A">
            <w:pPr>
              <w:spacing w:after="120"/>
              <w:rPr>
                <w:color w:val="000000"/>
              </w:rPr>
            </w:pPr>
            <w:r>
              <w:rPr>
                <w:color w:val="000000"/>
              </w:rPr>
              <w:t>Country</w:t>
            </w:r>
          </w:p>
        </w:tc>
        <w:tc>
          <w:tcPr>
            <w:tcW w:w="7428" w:type="dxa"/>
            <w:tcBorders>
              <w:top w:val="dotted" w:sz="4" w:space="0" w:color="000000"/>
              <w:left w:val="dotted" w:sz="4" w:space="0" w:color="000000"/>
              <w:bottom w:val="dotted" w:sz="4" w:space="0" w:color="000000"/>
              <w:right w:val="dotted" w:sz="4" w:space="0" w:color="000000"/>
            </w:tcBorders>
            <w:vAlign w:val="center"/>
          </w:tcPr>
          <w:p w14:paraId="2E338780" w14:textId="77777777" w:rsidR="00B3086F" w:rsidRDefault="00B3086F" w:rsidP="0036407A">
            <w:pPr>
              <w:spacing w:after="120"/>
              <w:rPr>
                <w:color w:val="000000"/>
              </w:rPr>
            </w:pPr>
            <w:r>
              <w:rPr>
                <w:color w:val="000000"/>
              </w:rPr>
              <w:t>Name of the consortium Country</w:t>
            </w:r>
          </w:p>
        </w:tc>
      </w:tr>
      <w:tr w:rsidR="00B3086F" w14:paraId="2B68944D"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10CC247" w14:textId="77777777" w:rsidR="00B3086F" w:rsidRDefault="00B3086F" w:rsidP="0036407A">
            <w:pPr>
              <w:spacing w:after="120"/>
              <w:rPr>
                <w:color w:val="000000"/>
              </w:rPr>
            </w:pPr>
            <w:r>
              <w:rPr>
                <w:color w:val="000000"/>
              </w:rPr>
              <w:t>Reviewer</w:t>
            </w:r>
          </w:p>
        </w:tc>
        <w:tc>
          <w:tcPr>
            <w:tcW w:w="742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85F72F" w14:textId="77777777" w:rsidR="00B3086F" w:rsidRDefault="00B3086F" w:rsidP="0036407A">
            <w:pPr>
              <w:spacing w:after="120"/>
              <w:rPr>
                <w:color w:val="000000"/>
              </w:rPr>
            </w:pPr>
            <w:r>
              <w:t>Name of the operator who is conducting the search</w:t>
            </w:r>
          </w:p>
        </w:tc>
      </w:tr>
      <w:tr w:rsidR="00B3086F" w14:paraId="27C95624"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60E19B9" w14:textId="77777777" w:rsidR="00B3086F" w:rsidRDefault="00B3086F" w:rsidP="0036407A">
            <w:pPr>
              <w:spacing w:after="120"/>
              <w:rPr>
                <w:color w:val="000000"/>
              </w:rPr>
            </w:pPr>
            <w:r>
              <w:rPr>
                <w:color w:val="000000"/>
              </w:rPr>
              <w:t>Topic</w:t>
            </w:r>
          </w:p>
        </w:tc>
        <w:tc>
          <w:tcPr>
            <w:tcW w:w="742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5FDC08C" w14:textId="77777777" w:rsidR="00B3086F" w:rsidRDefault="00B3086F" w:rsidP="00B3086F">
            <w:pPr>
              <w:widowControl w:val="0"/>
              <w:numPr>
                <w:ilvl w:val="0"/>
                <w:numId w:val="7"/>
              </w:numPr>
              <w:pBdr>
                <w:top w:val="nil"/>
                <w:left w:val="nil"/>
                <w:bottom w:val="nil"/>
                <w:right w:val="nil"/>
                <w:between w:val="nil"/>
              </w:pBdr>
              <w:spacing w:after="0" w:line="240" w:lineRule="auto"/>
              <w:ind w:left="523" w:hanging="523"/>
              <w:jc w:val="both"/>
              <w:rPr>
                <w:color w:val="000000"/>
              </w:rPr>
            </w:pPr>
            <w:r>
              <w:rPr>
                <w:color w:val="000000"/>
              </w:rPr>
              <w:t>RECOMMENDATIONS</w:t>
            </w:r>
          </w:p>
          <w:p w14:paraId="32D09BBE" w14:textId="77777777" w:rsidR="00B3086F" w:rsidRDefault="00B3086F" w:rsidP="00B3086F">
            <w:pPr>
              <w:widowControl w:val="0"/>
              <w:numPr>
                <w:ilvl w:val="0"/>
                <w:numId w:val="7"/>
              </w:numPr>
              <w:pBdr>
                <w:top w:val="nil"/>
                <w:left w:val="nil"/>
                <w:bottom w:val="nil"/>
                <w:right w:val="nil"/>
                <w:between w:val="nil"/>
              </w:pBdr>
              <w:spacing w:after="0" w:line="240" w:lineRule="auto"/>
              <w:ind w:left="523" w:hanging="523"/>
              <w:jc w:val="both"/>
              <w:rPr>
                <w:color w:val="000000"/>
              </w:rPr>
            </w:pPr>
            <w:r>
              <w:rPr>
                <w:color w:val="000000"/>
              </w:rPr>
              <w:t>BARRIERS/SOLUTIONS</w:t>
            </w:r>
          </w:p>
          <w:p w14:paraId="07F39C8C" w14:textId="77777777" w:rsidR="00B3086F" w:rsidRDefault="00B3086F" w:rsidP="00B3086F">
            <w:pPr>
              <w:widowControl w:val="0"/>
              <w:numPr>
                <w:ilvl w:val="0"/>
                <w:numId w:val="7"/>
              </w:numPr>
              <w:pBdr>
                <w:top w:val="nil"/>
                <w:left w:val="nil"/>
                <w:bottom w:val="nil"/>
                <w:right w:val="nil"/>
                <w:between w:val="nil"/>
              </w:pBdr>
              <w:spacing w:after="120" w:line="240" w:lineRule="auto"/>
              <w:ind w:left="523" w:hanging="523"/>
              <w:jc w:val="both"/>
              <w:rPr>
                <w:color w:val="000000"/>
              </w:rPr>
            </w:pPr>
            <w:r>
              <w:rPr>
                <w:color w:val="000000"/>
              </w:rPr>
              <w:t>RECOMMENDATIONS/BARRIERS/SOLUTIONS</w:t>
            </w:r>
          </w:p>
        </w:tc>
      </w:tr>
      <w:tr w:rsidR="00B3086F" w14:paraId="2FDFA400"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1FA6E27" w14:textId="77777777" w:rsidR="00B3086F" w:rsidRDefault="00B3086F" w:rsidP="0036407A">
            <w:pPr>
              <w:spacing w:after="120"/>
              <w:rPr>
                <w:color w:val="000000"/>
              </w:rPr>
            </w:pPr>
            <w:r>
              <w:rPr>
                <w:color w:val="000000"/>
              </w:rPr>
              <w:t>Title</w:t>
            </w:r>
          </w:p>
        </w:tc>
        <w:tc>
          <w:tcPr>
            <w:tcW w:w="7428" w:type="dxa"/>
            <w:tcBorders>
              <w:top w:val="dotted" w:sz="4" w:space="0" w:color="000000"/>
              <w:left w:val="dotted" w:sz="4" w:space="0" w:color="000000"/>
              <w:bottom w:val="dotted" w:sz="4" w:space="0" w:color="000000"/>
              <w:right w:val="dotted" w:sz="4" w:space="0" w:color="000000"/>
            </w:tcBorders>
            <w:vAlign w:val="center"/>
          </w:tcPr>
          <w:p w14:paraId="2F60CE85" w14:textId="77777777" w:rsidR="00B3086F" w:rsidRDefault="00B3086F" w:rsidP="0036407A">
            <w:pPr>
              <w:spacing w:after="120"/>
              <w:rPr>
                <w:color w:val="000000"/>
              </w:rPr>
            </w:pPr>
            <w:r>
              <w:rPr>
                <w:color w:val="000000"/>
              </w:rPr>
              <w:t>Title of the document</w:t>
            </w:r>
          </w:p>
        </w:tc>
      </w:tr>
      <w:tr w:rsidR="00B3086F" w14:paraId="35530233"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1A36C1E" w14:textId="77777777" w:rsidR="00B3086F" w:rsidRDefault="00B3086F" w:rsidP="0036407A">
            <w:pPr>
              <w:spacing w:after="120"/>
              <w:rPr>
                <w:color w:val="000000"/>
              </w:rPr>
            </w:pPr>
            <w:r>
              <w:rPr>
                <w:color w:val="000000"/>
              </w:rPr>
              <w:t>Authors</w:t>
            </w:r>
          </w:p>
        </w:tc>
        <w:tc>
          <w:tcPr>
            <w:tcW w:w="7428" w:type="dxa"/>
            <w:tcBorders>
              <w:top w:val="dotted" w:sz="4" w:space="0" w:color="000000"/>
              <w:left w:val="dotted" w:sz="4" w:space="0" w:color="000000"/>
              <w:bottom w:val="dotted" w:sz="4" w:space="0" w:color="000000"/>
              <w:right w:val="dotted" w:sz="4" w:space="0" w:color="000000"/>
            </w:tcBorders>
            <w:vAlign w:val="center"/>
          </w:tcPr>
          <w:p w14:paraId="657785C0" w14:textId="77777777" w:rsidR="00B3086F" w:rsidRDefault="00B3086F" w:rsidP="0036407A">
            <w:pPr>
              <w:spacing w:after="120"/>
              <w:rPr>
                <w:color w:val="000000"/>
              </w:rPr>
            </w:pPr>
            <w:r>
              <w:rPr>
                <w:color w:val="000000"/>
              </w:rPr>
              <w:t>Authors of the document</w:t>
            </w:r>
          </w:p>
        </w:tc>
      </w:tr>
      <w:tr w:rsidR="00B3086F" w14:paraId="14448634"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C882423" w14:textId="77777777" w:rsidR="00B3086F" w:rsidRDefault="00B3086F" w:rsidP="0036407A">
            <w:pPr>
              <w:spacing w:after="120"/>
              <w:rPr>
                <w:color w:val="000000"/>
              </w:rPr>
            </w:pPr>
            <w:r>
              <w:rPr>
                <w:color w:val="000000"/>
              </w:rPr>
              <w:t>Year</w:t>
            </w:r>
          </w:p>
        </w:tc>
        <w:tc>
          <w:tcPr>
            <w:tcW w:w="7428" w:type="dxa"/>
            <w:tcBorders>
              <w:top w:val="dotted" w:sz="4" w:space="0" w:color="000000"/>
              <w:left w:val="dotted" w:sz="4" w:space="0" w:color="000000"/>
              <w:bottom w:val="dotted" w:sz="4" w:space="0" w:color="000000"/>
              <w:right w:val="dotted" w:sz="4" w:space="0" w:color="000000"/>
            </w:tcBorders>
            <w:vAlign w:val="center"/>
          </w:tcPr>
          <w:p w14:paraId="1DDF22BE" w14:textId="77777777" w:rsidR="00B3086F" w:rsidRDefault="00B3086F" w:rsidP="0036407A">
            <w:pPr>
              <w:spacing w:after="120"/>
              <w:rPr>
                <w:color w:val="000000"/>
              </w:rPr>
            </w:pPr>
            <w:r>
              <w:rPr>
                <w:color w:val="000000"/>
              </w:rPr>
              <w:t>Publication year</w:t>
            </w:r>
          </w:p>
        </w:tc>
      </w:tr>
      <w:tr w:rsidR="00B3086F" w14:paraId="12E69B4B"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3DD2EB1" w14:textId="77777777" w:rsidR="00B3086F" w:rsidRDefault="00B3086F" w:rsidP="0036407A">
            <w:pPr>
              <w:spacing w:after="120"/>
              <w:rPr>
                <w:color w:val="000000"/>
              </w:rPr>
            </w:pPr>
            <w:r>
              <w:rPr>
                <w:color w:val="000000"/>
              </w:rPr>
              <w:t>Publisher</w:t>
            </w:r>
          </w:p>
        </w:tc>
        <w:tc>
          <w:tcPr>
            <w:tcW w:w="7428" w:type="dxa"/>
            <w:tcBorders>
              <w:top w:val="dotted" w:sz="4" w:space="0" w:color="000000"/>
              <w:left w:val="dotted" w:sz="4" w:space="0" w:color="000000"/>
              <w:bottom w:val="dotted" w:sz="4" w:space="0" w:color="000000"/>
              <w:right w:val="dotted" w:sz="4" w:space="0" w:color="000000"/>
            </w:tcBorders>
            <w:vAlign w:val="center"/>
          </w:tcPr>
          <w:p w14:paraId="7754FFCF" w14:textId="77777777" w:rsidR="00B3086F" w:rsidRDefault="00B3086F" w:rsidP="0036407A">
            <w:pPr>
              <w:spacing w:after="120"/>
              <w:rPr>
                <w:color w:val="000000"/>
              </w:rPr>
            </w:pPr>
            <w:r>
              <w:rPr>
                <w:color w:val="000000"/>
              </w:rPr>
              <w:t>Institution that published the document</w:t>
            </w:r>
          </w:p>
        </w:tc>
      </w:tr>
      <w:tr w:rsidR="00B3086F" w14:paraId="47F92A21"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3E03FB9" w14:textId="77777777" w:rsidR="00B3086F" w:rsidRDefault="00B3086F" w:rsidP="0036407A">
            <w:pPr>
              <w:spacing w:after="120"/>
              <w:rPr>
                <w:color w:val="000000"/>
              </w:rPr>
            </w:pPr>
            <w:r>
              <w:rPr>
                <w:color w:val="000000"/>
              </w:rPr>
              <w:t>Source/website</w:t>
            </w:r>
          </w:p>
        </w:tc>
        <w:tc>
          <w:tcPr>
            <w:tcW w:w="7428" w:type="dxa"/>
            <w:tcBorders>
              <w:top w:val="dotted" w:sz="4" w:space="0" w:color="000000"/>
              <w:left w:val="dotted" w:sz="4" w:space="0" w:color="000000"/>
              <w:bottom w:val="dotted" w:sz="4" w:space="0" w:color="000000"/>
              <w:right w:val="dotted" w:sz="4" w:space="0" w:color="000000"/>
            </w:tcBorders>
            <w:vAlign w:val="center"/>
          </w:tcPr>
          <w:p w14:paraId="3CF96DE1" w14:textId="77777777" w:rsidR="00B3086F" w:rsidRDefault="00B3086F" w:rsidP="0036407A">
            <w:pPr>
              <w:spacing w:after="120"/>
              <w:rPr>
                <w:color w:val="000000"/>
              </w:rPr>
            </w:pPr>
            <w:r>
              <w:rPr>
                <w:color w:val="000000"/>
              </w:rPr>
              <w:t>Consulted website</w:t>
            </w:r>
          </w:p>
        </w:tc>
      </w:tr>
      <w:tr w:rsidR="00B3086F" w14:paraId="37B44ED7"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CD20237" w14:textId="77777777" w:rsidR="00B3086F" w:rsidRDefault="00B3086F" w:rsidP="0036407A">
            <w:pPr>
              <w:spacing w:after="120"/>
              <w:rPr>
                <w:color w:val="000000"/>
              </w:rPr>
            </w:pPr>
            <w:proofErr w:type="spellStart"/>
            <w:r>
              <w:rPr>
                <w:color w:val="000000"/>
              </w:rPr>
              <w:t>DocumentType</w:t>
            </w:r>
            <w:proofErr w:type="spellEnd"/>
          </w:p>
        </w:tc>
        <w:tc>
          <w:tcPr>
            <w:tcW w:w="7428" w:type="dxa"/>
            <w:tcBorders>
              <w:top w:val="dotted" w:sz="4" w:space="0" w:color="000000"/>
              <w:left w:val="dotted" w:sz="4" w:space="0" w:color="000000"/>
              <w:bottom w:val="dotted" w:sz="4" w:space="0" w:color="000000"/>
              <w:right w:val="dotted" w:sz="4" w:space="0" w:color="000000"/>
            </w:tcBorders>
            <w:vAlign w:val="center"/>
          </w:tcPr>
          <w:p w14:paraId="5FABC3BB"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Scientific literature</w:t>
            </w:r>
          </w:p>
          <w:p w14:paraId="5B80CF46"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Guidance</w:t>
            </w:r>
          </w:p>
          <w:p w14:paraId="779C914F"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Guideline</w:t>
            </w:r>
          </w:p>
          <w:p w14:paraId="4C7F7E95"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Bulletin</w:t>
            </w:r>
          </w:p>
          <w:p w14:paraId="5227EFC5"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Report</w:t>
            </w:r>
          </w:p>
          <w:p w14:paraId="61264A02"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Legislation</w:t>
            </w:r>
          </w:p>
          <w:p w14:paraId="14F208B8"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Policy document</w:t>
            </w:r>
          </w:p>
          <w:p w14:paraId="24453417" w14:textId="77777777" w:rsidR="00B3086F" w:rsidRDefault="00B3086F" w:rsidP="00B3086F">
            <w:pPr>
              <w:widowControl w:val="0"/>
              <w:numPr>
                <w:ilvl w:val="0"/>
                <w:numId w:val="7"/>
              </w:numPr>
              <w:pBdr>
                <w:top w:val="nil"/>
                <w:left w:val="nil"/>
                <w:bottom w:val="nil"/>
                <w:right w:val="nil"/>
                <w:between w:val="nil"/>
              </w:pBdr>
              <w:spacing w:after="0" w:line="240" w:lineRule="auto"/>
              <w:ind w:left="567" w:hanging="567"/>
              <w:jc w:val="both"/>
              <w:rPr>
                <w:color w:val="000000"/>
              </w:rPr>
            </w:pPr>
            <w:r>
              <w:rPr>
                <w:color w:val="000000"/>
              </w:rPr>
              <w:t>Standard operating procedure</w:t>
            </w:r>
          </w:p>
          <w:p w14:paraId="0DEC2782" w14:textId="77777777" w:rsidR="00B3086F" w:rsidRDefault="00B3086F" w:rsidP="00B3086F">
            <w:pPr>
              <w:widowControl w:val="0"/>
              <w:numPr>
                <w:ilvl w:val="0"/>
                <w:numId w:val="7"/>
              </w:numPr>
              <w:pBdr>
                <w:top w:val="nil"/>
                <w:left w:val="nil"/>
                <w:bottom w:val="nil"/>
                <w:right w:val="nil"/>
                <w:between w:val="nil"/>
              </w:pBdr>
              <w:spacing w:after="120" w:line="240" w:lineRule="auto"/>
              <w:ind w:left="567" w:hanging="567"/>
              <w:jc w:val="both"/>
              <w:rPr>
                <w:color w:val="000000"/>
              </w:rPr>
            </w:pPr>
            <w:r>
              <w:rPr>
                <w:color w:val="000000"/>
              </w:rPr>
              <w:t>Other document type</w:t>
            </w:r>
          </w:p>
        </w:tc>
      </w:tr>
      <w:tr w:rsidR="00B3086F" w14:paraId="53EA2EB7"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B4152D1" w14:textId="77777777" w:rsidR="00B3086F" w:rsidRDefault="00B3086F" w:rsidP="0036407A">
            <w:pPr>
              <w:spacing w:after="120"/>
              <w:rPr>
                <w:color w:val="000000"/>
              </w:rPr>
            </w:pPr>
            <w:r>
              <w:rPr>
                <w:color w:val="000000"/>
              </w:rPr>
              <w:t>Abstract/Summary</w:t>
            </w:r>
          </w:p>
        </w:tc>
        <w:tc>
          <w:tcPr>
            <w:tcW w:w="7428" w:type="dxa"/>
            <w:tcBorders>
              <w:top w:val="dotted" w:sz="4" w:space="0" w:color="000000"/>
              <w:left w:val="dotted" w:sz="4" w:space="0" w:color="000000"/>
              <w:bottom w:val="dotted" w:sz="4" w:space="0" w:color="000000"/>
              <w:right w:val="dotted" w:sz="4" w:space="0" w:color="000000"/>
            </w:tcBorders>
            <w:vAlign w:val="center"/>
          </w:tcPr>
          <w:p w14:paraId="3412E50F" w14:textId="77777777" w:rsidR="00B3086F" w:rsidRDefault="00B3086F" w:rsidP="0036407A">
            <w:pPr>
              <w:spacing w:after="120"/>
              <w:rPr>
                <w:color w:val="000000"/>
              </w:rPr>
            </w:pPr>
            <w:r>
              <w:rPr>
                <w:color w:val="000000"/>
              </w:rPr>
              <w:t>If available, copy/paste of the abstract/summary in English</w:t>
            </w:r>
          </w:p>
        </w:tc>
      </w:tr>
      <w:tr w:rsidR="00B3086F" w14:paraId="7915346D"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A0EFA25" w14:textId="77777777" w:rsidR="00B3086F" w:rsidRDefault="00B3086F" w:rsidP="0036407A">
            <w:pPr>
              <w:spacing w:after="120"/>
              <w:rPr>
                <w:color w:val="000000"/>
              </w:rPr>
            </w:pPr>
            <w:r>
              <w:rPr>
                <w:color w:val="000000"/>
              </w:rPr>
              <w:t>Link to full text</w:t>
            </w:r>
          </w:p>
        </w:tc>
        <w:tc>
          <w:tcPr>
            <w:tcW w:w="7428" w:type="dxa"/>
            <w:tcBorders>
              <w:top w:val="dotted" w:sz="4" w:space="0" w:color="000000"/>
              <w:left w:val="dotted" w:sz="4" w:space="0" w:color="000000"/>
              <w:bottom w:val="dotted" w:sz="4" w:space="0" w:color="000000"/>
              <w:right w:val="dotted" w:sz="4" w:space="0" w:color="000000"/>
            </w:tcBorders>
            <w:vAlign w:val="center"/>
          </w:tcPr>
          <w:p w14:paraId="0B9F4B37" w14:textId="77777777" w:rsidR="00B3086F" w:rsidRDefault="00B3086F" w:rsidP="0036407A">
            <w:pPr>
              <w:spacing w:after="120"/>
              <w:rPr>
                <w:color w:val="000000"/>
              </w:rPr>
            </w:pPr>
            <w:r>
              <w:rPr>
                <w:color w:val="000000"/>
              </w:rPr>
              <w:t>Link to full text of the document</w:t>
            </w:r>
          </w:p>
        </w:tc>
      </w:tr>
      <w:tr w:rsidR="00B3086F" w14:paraId="5CB11080"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D892352" w14:textId="77777777" w:rsidR="00B3086F" w:rsidRDefault="00B3086F" w:rsidP="0036407A">
            <w:pPr>
              <w:spacing w:after="120"/>
              <w:rPr>
                <w:color w:val="000000"/>
              </w:rPr>
            </w:pPr>
            <w:r>
              <w:rPr>
                <w:color w:val="000000"/>
              </w:rPr>
              <w:t>Population</w:t>
            </w:r>
          </w:p>
        </w:tc>
        <w:tc>
          <w:tcPr>
            <w:tcW w:w="7428" w:type="dxa"/>
            <w:tcBorders>
              <w:top w:val="dotted" w:sz="4" w:space="0" w:color="000000"/>
              <w:left w:val="dotted" w:sz="4" w:space="0" w:color="000000"/>
              <w:bottom w:val="dotted" w:sz="4" w:space="0" w:color="000000"/>
              <w:right w:val="dotted" w:sz="4" w:space="0" w:color="000000"/>
            </w:tcBorders>
            <w:vAlign w:val="center"/>
          </w:tcPr>
          <w:p w14:paraId="511CE604" w14:textId="77777777" w:rsidR="00B3086F" w:rsidRDefault="00B3086F" w:rsidP="0036407A">
            <w:pPr>
              <w:spacing w:after="120"/>
              <w:rPr>
                <w:color w:val="000000"/>
              </w:rPr>
            </w:pPr>
            <w:r>
              <w:t>Specify the subpopulation considered in the document (among NAMs as defined within the project)</w:t>
            </w:r>
          </w:p>
        </w:tc>
      </w:tr>
      <w:tr w:rsidR="00B3086F" w14:paraId="20F9733B"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FD2F1AB" w14:textId="77777777" w:rsidR="00B3086F" w:rsidRDefault="00B3086F" w:rsidP="0036407A">
            <w:pPr>
              <w:spacing w:after="120"/>
              <w:rPr>
                <w:color w:val="000000"/>
              </w:rPr>
            </w:pPr>
            <w:r>
              <w:rPr>
                <w:color w:val="000000"/>
              </w:rPr>
              <w:t>Setting</w:t>
            </w:r>
          </w:p>
        </w:tc>
        <w:tc>
          <w:tcPr>
            <w:tcW w:w="7428" w:type="dxa"/>
            <w:tcBorders>
              <w:top w:val="dotted" w:sz="4" w:space="0" w:color="000000"/>
              <w:left w:val="dotted" w:sz="4" w:space="0" w:color="000000"/>
              <w:bottom w:val="dotted" w:sz="4" w:space="0" w:color="000000"/>
              <w:right w:val="dotted" w:sz="4" w:space="0" w:color="000000"/>
            </w:tcBorders>
            <w:vAlign w:val="center"/>
          </w:tcPr>
          <w:p w14:paraId="2A8DE791" w14:textId="77777777" w:rsidR="00B3086F" w:rsidRDefault="00B3086F" w:rsidP="0036407A">
            <w:pPr>
              <w:spacing w:after="120"/>
              <w:rPr>
                <w:color w:val="000000"/>
              </w:rPr>
            </w:pPr>
            <w:r>
              <w:rPr>
                <w:color w:val="000000"/>
              </w:rPr>
              <w:t>Specific setting taken under consideration in the recommendation or in the description of a barrier/solution</w:t>
            </w:r>
          </w:p>
        </w:tc>
      </w:tr>
      <w:tr w:rsidR="00B3086F" w14:paraId="139477ED"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CC651D6" w14:textId="77777777" w:rsidR="00B3086F" w:rsidRDefault="00B3086F" w:rsidP="0036407A">
            <w:pPr>
              <w:spacing w:after="120"/>
              <w:rPr>
                <w:color w:val="000000"/>
              </w:rPr>
            </w:pPr>
            <w:r>
              <w:rPr>
                <w:color w:val="000000"/>
              </w:rPr>
              <w:t>Vaccination</w:t>
            </w:r>
          </w:p>
        </w:tc>
        <w:tc>
          <w:tcPr>
            <w:tcW w:w="7428" w:type="dxa"/>
            <w:tcBorders>
              <w:top w:val="dotted" w:sz="4" w:space="0" w:color="000000"/>
              <w:left w:val="dotted" w:sz="4" w:space="0" w:color="000000"/>
              <w:bottom w:val="dotted" w:sz="4" w:space="0" w:color="000000"/>
              <w:right w:val="dotted" w:sz="4" w:space="0" w:color="000000"/>
            </w:tcBorders>
            <w:vAlign w:val="center"/>
          </w:tcPr>
          <w:p w14:paraId="7F3E4971" w14:textId="77777777" w:rsidR="00B3086F" w:rsidRDefault="00B3086F" w:rsidP="0036407A">
            <w:pPr>
              <w:spacing w:after="120"/>
              <w:rPr>
                <w:color w:val="000000"/>
              </w:rPr>
            </w:pPr>
            <w:r>
              <w:rPr>
                <w:color w:val="000000"/>
              </w:rPr>
              <w:t>Type of vaccination target of the document (</w:t>
            </w:r>
            <w:proofErr w:type="gramStart"/>
            <w:r>
              <w:rPr>
                <w:color w:val="000000"/>
              </w:rPr>
              <w:t>i.e.</w:t>
            </w:r>
            <w:proofErr w:type="gramEnd"/>
            <w:r>
              <w:rPr>
                <w:color w:val="000000"/>
              </w:rPr>
              <w:t xml:space="preserve"> all compulsory vaccination, or a specific vaccine: COVID-19, MMR, HPV, HBV …)</w:t>
            </w:r>
          </w:p>
        </w:tc>
      </w:tr>
      <w:tr w:rsidR="00B3086F" w14:paraId="3214A2CE" w14:textId="77777777" w:rsidTr="0036407A">
        <w:trPr>
          <w:trHeight w:val="397"/>
        </w:trPr>
        <w:tc>
          <w:tcPr>
            <w:tcW w:w="277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1C98CF3" w14:textId="77777777" w:rsidR="00B3086F" w:rsidRDefault="00B3086F" w:rsidP="0036407A">
            <w:pPr>
              <w:spacing w:after="120"/>
              <w:rPr>
                <w:color w:val="000000"/>
              </w:rPr>
            </w:pPr>
            <w:r>
              <w:rPr>
                <w:color w:val="000000"/>
              </w:rPr>
              <w:t>Recommendation</w:t>
            </w:r>
          </w:p>
        </w:tc>
        <w:tc>
          <w:tcPr>
            <w:tcW w:w="7428" w:type="dxa"/>
            <w:tcBorders>
              <w:top w:val="dotted" w:sz="4" w:space="0" w:color="000000"/>
              <w:left w:val="dotted" w:sz="4" w:space="0" w:color="000000"/>
              <w:bottom w:val="dotted" w:sz="4" w:space="0" w:color="000000"/>
              <w:right w:val="dotted" w:sz="4" w:space="0" w:color="000000"/>
            </w:tcBorders>
            <w:vAlign w:val="center"/>
          </w:tcPr>
          <w:p w14:paraId="6C31158D" w14:textId="77777777" w:rsidR="00B3086F" w:rsidRDefault="00B3086F" w:rsidP="0036407A">
            <w:pPr>
              <w:spacing w:after="120"/>
              <w:rPr>
                <w:color w:val="000000"/>
              </w:rPr>
            </w:pPr>
            <w:r>
              <w:rPr>
                <w:color w:val="000000"/>
              </w:rPr>
              <w:t>The recommendation to vaccination included in the document (one recommendation for each record of the Excel file) (max 100 words)</w:t>
            </w:r>
          </w:p>
        </w:tc>
      </w:tr>
      <w:tr w:rsidR="00B3086F" w14:paraId="62CB640D" w14:textId="77777777" w:rsidTr="0036407A">
        <w:trPr>
          <w:trHeight w:val="397"/>
        </w:trPr>
        <w:tc>
          <w:tcPr>
            <w:tcW w:w="2778" w:type="dxa"/>
            <w:tcBorders>
              <w:top w:val="dotted" w:sz="4" w:space="0" w:color="000000"/>
              <w:left w:val="dotted" w:sz="4" w:space="0" w:color="000000"/>
              <w:bottom w:val="single" w:sz="4" w:space="0" w:color="000000"/>
              <w:right w:val="dotted" w:sz="4" w:space="0" w:color="000000"/>
            </w:tcBorders>
            <w:shd w:val="clear" w:color="auto" w:fill="auto"/>
            <w:vAlign w:val="center"/>
          </w:tcPr>
          <w:p w14:paraId="5CB697EB" w14:textId="77777777" w:rsidR="00B3086F" w:rsidRDefault="00B3086F" w:rsidP="0036407A">
            <w:pPr>
              <w:spacing w:after="120"/>
              <w:rPr>
                <w:color w:val="000000"/>
              </w:rPr>
            </w:pPr>
            <w:r>
              <w:rPr>
                <w:color w:val="000000"/>
              </w:rPr>
              <w:t>Comments</w:t>
            </w:r>
          </w:p>
        </w:tc>
        <w:tc>
          <w:tcPr>
            <w:tcW w:w="7428" w:type="dxa"/>
            <w:tcBorders>
              <w:top w:val="dotted" w:sz="4" w:space="0" w:color="000000"/>
              <w:left w:val="dotted" w:sz="4" w:space="0" w:color="000000"/>
              <w:bottom w:val="single" w:sz="4" w:space="0" w:color="000000"/>
              <w:right w:val="dotted" w:sz="4" w:space="0" w:color="000000"/>
            </w:tcBorders>
            <w:vAlign w:val="center"/>
          </w:tcPr>
          <w:p w14:paraId="63EEFF77" w14:textId="77777777" w:rsidR="00B3086F" w:rsidRDefault="00B3086F" w:rsidP="0036407A">
            <w:pPr>
              <w:spacing w:after="120"/>
              <w:rPr>
                <w:color w:val="000000"/>
              </w:rPr>
            </w:pPr>
            <w:r>
              <w:rPr>
                <w:color w:val="000000"/>
              </w:rPr>
              <w:t>Any useful comment from the reviewer</w:t>
            </w:r>
          </w:p>
        </w:tc>
      </w:tr>
    </w:tbl>
    <w:p w14:paraId="2FCA2F2D" w14:textId="77777777" w:rsidR="00B3086F" w:rsidRDefault="00B3086F" w:rsidP="00B3086F">
      <w:pPr>
        <w:spacing w:after="120"/>
        <w:jc w:val="both"/>
        <w:rPr>
          <w:color w:val="000000"/>
        </w:rPr>
      </w:pPr>
    </w:p>
    <w:p w14:paraId="7A808CC3" w14:textId="77777777" w:rsidR="00B3086F" w:rsidRDefault="00B3086F" w:rsidP="00B3086F">
      <w:pPr>
        <w:spacing w:after="120"/>
        <w:jc w:val="both"/>
        <w:rPr>
          <w:color w:val="000000"/>
        </w:rPr>
      </w:pPr>
      <w:r>
        <w:rPr>
          <w:b/>
          <w:color w:val="000000"/>
        </w:rPr>
        <w:t>NOTE THAT</w:t>
      </w:r>
      <w:r>
        <w:rPr>
          <w:color w:val="000000"/>
        </w:rPr>
        <w:t xml:space="preserve"> since each document can contain </w:t>
      </w:r>
      <w:r>
        <w:rPr>
          <w:color w:val="000000"/>
          <w:u w:val="single"/>
        </w:rPr>
        <w:t>more than one barrier or solution</w:t>
      </w:r>
      <w:r>
        <w:rPr>
          <w:color w:val="000000"/>
        </w:rPr>
        <w:t xml:space="preserve">, you must use one line of the Excel file for each recommendation or </w:t>
      </w:r>
      <w:proofErr w:type="gramStart"/>
      <w:r>
        <w:rPr>
          <w:color w:val="000000"/>
        </w:rPr>
        <w:t>barrier</w:t>
      </w:r>
      <w:proofErr w:type="gramEnd"/>
      <w:r>
        <w:rPr>
          <w:color w:val="000000"/>
        </w:rPr>
        <w:t xml:space="preserve"> or solution contained in the same document.</w:t>
      </w:r>
    </w:p>
    <w:p w14:paraId="30A5169E" w14:textId="77777777" w:rsidR="00B3086F" w:rsidRPr="00C9448B" w:rsidRDefault="00B3086F" w:rsidP="00B3086F">
      <w:pPr>
        <w:spacing w:after="120"/>
        <w:jc w:val="both"/>
        <w:rPr>
          <w:color w:val="000000"/>
        </w:rPr>
      </w:pPr>
      <w:bookmarkStart w:id="2" w:name="_heading=h.37m2jsg" w:colFirst="0" w:colLast="0"/>
      <w:bookmarkEnd w:id="2"/>
      <w:r>
        <w:rPr>
          <w:color w:val="000000"/>
        </w:rPr>
        <w:t xml:space="preserve">Only in the case that the </w:t>
      </w:r>
      <w:r>
        <w:rPr>
          <w:color w:val="000000"/>
          <w:u w:val="single"/>
        </w:rPr>
        <w:t>elements (barriers / solutions) of a document are linked</w:t>
      </w:r>
      <w:r>
        <w:rPr>
          <w:color w:val="000000"/>
        </w:rPr>
        <w:t>, they must be written on the same line of the excel file.</w:t>
      </w:r>
      <w:bookmarkStart w:id="3" w:name="_heading=h.2bn6wsx" w:colFirst="0" w:colLast="0"/>
      <w:bookmarkEnd w:id="3"/>
    </w:p>
    <w:p w14:paraId="4E20F273" w14:textId="12FF1763" w:rsidR="00B3086F" w:rsidRDefault="00B3086F">
      <w:r>
        <w:br w:type="page"/>
      </w:r>
    </w:p>
    <w:p w14:paraId="21D7DF3B" w14:textId="77777777" w:rsidR="008D28BB" w:rsidRPr="00E4191E" w:rsidRDefault="008D28BB" w:rsidP="008D28BB">
      <w:pPr>
        <w:pStyle w:val="Heading2"/>
        <w:spacing w:before="0" w:after="120" w:line="240" w:lineRule="auto"/>
        <w:rPr>
          <w:rFonts w:ascii="Times New Roman" w:hAnsi="Times New Roman" w:cs="Times New Roman"/>
          <w:szCs w:val="24"/>
          <w:lang w:val="en-US"/>
        </w:rPr>
      </w:pPr>
      <w:r w:rsidRPr="00E4191E">
        <w:rPr>
          <w:rFonts w:ascii="Times New Roman" w:hAnsi="Times New Roman" w:cs="Times New Roman"/>
          <w:szCs w:val="24"/>
          <w:lang w:val="en-US"/>
        </w:rPr>
        <w:t xml:space="preserve">Supplementary Material </w:t>
      </w:r>
      <w:r>
        <w:rPr>
          <w:rFonts w:ascii="Times New Roman" w:hAnsi="Times New Roman" w:cs="Times New Roman"/>
          <w:szCs w:val="24"/>
          <w:lang w:val="en-US"/>
        </w:rPr>
        <w:t>3</w:t>
      </w:r>
    </w:p>
    <w:p w14:paraId="719B94BA" w14:textId="77777777" w:rsidR="008D28BB" w:rsidRDefault="008D28BB" w:rsidP="008D28BB">
      <w:pPr>
        <w:spacing w:after="120"/>
        <w:rPr>
          <w:b/>
        </w:rPr>
      </w:pPr>
    </w:p>
    <w:p w14:paraId="78A5898B" w14:textId="77777777" w:rsidR="008D28BB" w:rsidRDefault="008D28BB" w:rsidP="008D28BB">
      <w:pPr>
        <w:spacing w:after="120"/>
      </w:pPr>
      <w:r>
        <w:rPr>
          <w:b/>
        </w:rPr>
        <w:t>Table 1</w:t>
      </w:r>
      <w:r>
        <w:t xml:space="preserve"> Studies which reported at least a barrier (x) and/or a solution (o) by GCF </w:t>
      </w:r>
      <w:proofErr w:type="gramStart"/>
      <w:r>
        <w:t>hub</w:t>
      </w:r>
      <w:proofErr w:type="gramEnd"/>
    </w:p>
    <w:tbl>
      <w:tblPr>
        <w:tblW w:w="9778" w:type="dxa"/>
        <w:tblInd w:w="-70" w:type="dxa"/>
        <w:tblLayout w:type="fixed"/>
        <w:tblLook w:val="0400" w:firstRow="0" w:lastRow="0" w:firstColumn="0" w:lastColumn="0" w:noHBand="0" w:noVBand="1"/>
      </w:tblPr>
      <w:tblGrid>
        <w:gridCol w:w="546"/>
        <w:gridCol w:w="3620"/>
        <w:gridCol w:w="509"/>
        <w:gridCol w:w="595"/>
        <w:gridCol w:w="535"/>
        <w:gridCol w:w="624"/>
        <w:gridCol w:w="472"/>
        <w:gridCol w:w="547"/>
        <w:gridCol w:w="562"/>
        <w:gridCol w:w="657"/>
        <w:gridCol w:w="472"/>
        <w:gridCol w:w="639"/>
      </w:tblGrid>
      <w:tr w:rsidR="008D28BB" w14:paraId="2C755F07" w14:textId="77777777" w:rsidTr="000B3355">
        <w:trPr>
          <w:trHeight w:val="278"/>
        </w:trPr>
        <w:tc>
          <w:tcPr>
            <w:tcW w:w="546" w:type="dxa"/>
            <w:tcBorders>
              <w:top w:val="single" w:sz="6" w:space="0" w:color="000000"/>
              <w:left w:val="nil"/>
              <w:bottom w:val="single" w:sz="12" w:space="0" w:color="000000"/>
              <w:right w:val="single" w:sz="4" w:space="0" w:color="000000"/>
            </w:tcBorders>
            <w:vAlign w:val="center"/>
          </w:tcPr>
          <w:p w14:paraId="019AA1F2" w14:textId="77777777" w:rsidR="008D28BB" w:rsidRPr="00D51E20" w:rsidRDefault="008D28BB" w:rsidP="000B3355">
            <w:pPr>
              <w:spacing w:after="0"/>
              <w:jc w:val="center"/>
              <w:rPr>
                <w:rFonts w:ascii="Calibri" w:eastAsia="Calibri" w:hAnsi="Calibri" w:cs="Calibri"/>
                <w:b/>
                <w:i/>
                <w:color w:val="000000"/>
                <w:sz w:val="16"/>
                <w:szCs w:val="16"/>
              </w:rPr>
            </w:pPr>
            <w:bookmarkStart w:id="4" w:name="_Hlk119074280"/>
            <w:r w:rsidRPr="00D51E20">
              <w:rPr>
                <w:rFonts w:ascii="Calibri" w:eastAsia="Calibri" w:hAnsi="Calibri" w:cs="Calibri"/>
                <w:b/>
                <w:i/>
                <w:color w:val="000000"/>
                <w:sz w:val="18"/>
                <w:szCs w:val="18"/>
              </w:rPr>
              <w:t>Ref</w:t>
            </w:r>
          </w:p>
        </w:tc>
        <w:tc>
          <w:tcPr>
            <w:tcW w:w="3620" w:type="dxa"/>
            <w:tcBorders>
              <w:top w:val="single" w:sz="6" w:space="0" w:color="000000"/>
              <w:left w:val="nil"/>
              <w:bottom w:val="single" w:sz="12" w:space="0" w:color="000000"/>
              <w:right w:val="single" w:sz="12" w:space="0" w:color="000000"/>
            </w:tcBorders>
            <w:shd w:val="clear" w:color="auto" w:fill="auto"/>
            <w:vAlign w:val="center"/>
          </w:tcPr>
          <w:p w14:paraId="24436B8D" w14:textId="77777777" w:rsidR="008D28BB" w:rsidRPr="00D51E20" w:rsidRDefault="008D28BB" w:rsidP="000B3355">
            <w:pPr>
              <w:spacing w:after="0"/>
              <w:jc w:val="center"/>
              <w:rPr>
                <w:rFonts w:ascii="Calibri" w:eastAsia="Calibri" w:hAnsi="Calibri" w:cs="Calibri"/>
                <w:b/>
                <w:i/>
                <w:color w:val="000000"/>
              </w:rPr>
            </w:pPr>
            <w:bookmarkStart w:id="5" w:name="_heading=h.30j0zll" w:colFirst="0" w:colLast="0"/>
            <w:bookmarkEnd w:id="5"/>
            <w:r w:rsidRPr="00D51E20">
              <w:rPr>
                <w:rFonts w:ascii="Calibri" w:eastAsia="Calibri" w:hAnsi="Calibri" w:cs="Calibri"/>
                <w:b/>
                <w:i/>
                <w:color w:val="000000"/>
                <w:sz w:val="18"/>
                <w:szCs w:val="18"/>
              </w:rPr>
              <w:t>Studies</w:t>
            </w:r>
          </w:p>
        </w:tc>
        <w:tc>
          <w:tcPr>
            <w:tcW w:w="1104" w:type="dxa"/>
            <w:gridSpan w:val="2"/>
            <w:tcBorders>
              <w:top w:val="single" w:sz="6" w:space="0" w:color="000000"/>
              <w:left w:val="single" w:sz="12" w:space="0" w:color="000000"/>
              <w:bottom w:val="single" w:sz="12" w:space="0" w:color="000000"/>
              <w:right w:val="single" w:sz="4" w:space="0" w:color="000000"/>
            </w:tcBorders>
            <w:shd w:val="clear" w:color="auto" w:fill="auto"/>
            <w:vAlign w:val="center"/>
          </w:tcPr>
          <w:p w14:paraId="4981C143" w14:textId="77777777" w:rsidR="008D28BB" w:rsidRDefault="008D28BB" w:rsidP="000B3355">
            <w:pPr>
              <w:spacing w:after="0"/>
              <w:jc w:val="center"/>
              <w:rPr>
                <w:rFonts w:ascii="Calibri" w:eastAsia="Calibri" w:hAnsi="Calibri" w:cs="Calibri"/>
                <w:b/>
                <w:i/>
                <w:color w:val="000000"/>
                <w:sz w:val="18"/>
                <w:szCs w:val="18"/>
              </w:rPr>
            </w:pPr>
            <w:r>
              <w:rPr>
                <w:rFonts w:ascii="Calibri" w:eastAsia="Calibri" w:hAnsi="Calibri" w:cs="Calibri"/>
                <w:b/>
                <w:i/>
                <w:color w:val="000000"/>
                <w:sz w:val="18"/>
                <w:szCs w:val="18"/>
              </w:rPr>
              <w:t>Entitlement</w:t>
            </w:r>
          </w:p>
        </w:tc>
        <w:tc>
          <w:tcPr>
            <w:tcW w:w="1159" w:type="dxa"/>
            <w:gridSpan w:val="2"/>
            <w:tcBorders>
              <w:top w:val="single" w:sz="6" w:space="0" w:color="000000"/>
              <w:left w:val="single" w:sz="4" w:space="0" w:color="000000"/>
              <w:bottom w:val="single" w:sz="12" w:space="0" w:color="000000"/>
              <w:right w:val="single" w:sz="4" w:space="0" w:color="000000"/>
            </w:tcBorders>
            <w:shd w:val="clear" w:color="auto" w:fill="auto"/>
            <w:vAlign w:val="center"/>
          </w:tcPr>
          <w:p w14:paraId="11DFFFCC" w14:textId="77777777" w:rsidR="008D28BB" w:rsidRDefault="008D28BB" w:rsidP="000B3355">
            <w:pPr>
              <w:spacing w:after="0"/>
              <w:jc w:val="center"/>
              <w:rPr>
                <w:rFonts w:ascii="Calibri" w:eastAsia="Calibri" w:hAnsi="Calibri" w:cs="Calibri"/>
                <w:b/>
                <w:i/>
                <w:color w:val="000000"/>
                <w:sz w:val="18"/>
                <w:szCs w:val="18"/>
              </w:rPr>
            </w:pPr>
            <w:r>
              <w:rPr>
                <w:rFonts w:ascii="Calibri" w:eastAsia="Calibri" w:hAnsi="Calibri" w:cs="Calibri"/>
                <w:b/>
                <w:i/>
                <w:color w:val="000000"/>
                <w:sz w:val="18"/>
                <w:szCs w:val="18"/>
              </w:rPr>
              <w:t>Reachability</w:t>
            </w:r>
          </w:p>
        </w:tc>
        <w:tc>
          <w:tcPr>
            <w:tcW w:w="1019" w:type="dxa"/>
            <w:gridSpan w:val="2"/>
            <w:tcBorders>
              <w:top w:val="single" w:sz="6" w:space="0" w:color="000000"/>
              <w:left w:val="single" w:sz="4" w:space="0" w:color="000000"/>
              <w:bottom w:val="single" w:sz="12" w:space="0" w:color="000000"/>
              <w:right w:val="single" w:sz="4" w:space="0" w:color="000000"/>
            </w:tcBorders>
            <w:shd w:val="clear" w:color="auto" w:fill="auto"/>
            <w:vAlign w:val="center"/>
          </w:tcPr>
          <w:p w14:paraId="5964E5D0" w14:textId="77777777" w:rsidR="008D28BB" w:rsidRDefault="008D28BB" w:rsidP="000B3355">
            <w:pPr>
              <w:spacing w:after="0"/>
              <w:jc w:val="center"/>
              <w:rPr>
                <w:rFonts w:ascii="Calibri" w:eastAsia="Calibri" w:hAnsi="Calibri" w:cs="Calibri"/>
                <w:b/>
                <w:i/>
                <w:color w:val="000000"/>
                <w:sz w:val="18"/>
                <w:szCs w:val="18"/>
              </w:rPr>
            </w:pPr>
            <w:r>
              <w:rPr>
                <w:rFonts w:ascii="Calibri" w:eastAsia="Calibri" w:hAnsi="Calibri" w:cs="Calibri"/>
                <w:b/>
                <w:i/>
                <w:color w:val="000000"/>
                <w:sz w:val="18"/>
                <w:szCs w:val="18"/>
              </w:rPr>
              <w:t>Adherence</w:t>
            </w:r>
          </w:p>
        </w:tc>
        <w:tc>
          <w:tcPr>
            <w:tcW w:w="1219" w:type="dxa"/>
            <w:gridSpan w:val="2"/>
            <w:tcBorders>
              <w:top w:val="single" w:sz="6" w:space="0" w:color="000000"/>
              <w:left w:val="single" w:sz="4" w:space="0" w:color="000000"/>
              <w:bottom w:val="single" w:sz="12" w:space="0" w:color="000000"/>
              <w:right w:val="single" w:sz="4" w:space="0" w:color="000000"/>
            </w:tcBorders>
            <w:shd w:val="clear" w:color="auto" w:fill="auto"/>
            <w:vAlign w:val="center"/>
          </w:tcPr>
          <w:p w14:paraId="0ED138F4" w14:textId="77777777" w:rsidR="008D28BB" w:rsidRDefault="008D28BB" w:rsidP="000B3355">
            <w:pPr>
              <w:spacing w:after="0"/>
              <w:jc w:val="center"/>
              <w:rPr>
                <w:rFonts w:ascii="Calibri" w:eastAsia="Calibri" w:hAnsi="Calibri" w:cs="Calibri"/>
                <w:b/>
                <w:i/>
                <w:color w:val="000000"/>
                <w:sz w:val="18"/>
                <w:szCs w:val="18"/>
              </w:rPr>
            </w:pPr>
            <w:r>
              <w:rPr>
                <w:rFonts w:ascii="Calibri" w:eastAsia="Calibri" w:hAnsi="Calibri" w:cs="Calibri"/>
                <w:b/>
                <w:i/>
                <w:color w:val="000000"/>
                <w:sz w:val="18"/>
                <w:szCs w:val="18"/>
              </w:rPr>
              <w:t>Achievement</w:t>
            </w:r>
          </w:p>
        </w:tc>
        <w:tc>
          <w:tcPr>
            <w:tcW w:w="1111" w:type="dxa"/>
            <w:gridSpan w:val="2"/>
            <w:tcBorders>
              <w:top w:val="single" w:sz="6" w:space="0" w:color="000000"/>
              <w:left w:val="single" w:sz="4" w:space="0" w:color="000000"/>
              <w:bottom w:val="single" w:sz="12" w:space="0" w:color="000000"/>
            </w:tcBorders>
            <w:shd w:val="clear" w:color="auto" w:fill="auto"/>
            <w:vAlign w:val="center"/>
          </w:tcPr>
          <w:p w14:paraId="0B829AB2" w14:textId="77777777" w:rsidR="008D28BB" w:rsidRDefault="008D28BB" w:rsidP="000B3355">
            <w:pPr>
              <w:spacing w:after="0"/>
              <w:jc w:val="center"/>
              <w:rPr>
                <w:rFonts w:ascii="Calibri" w:eastAsia="Calibri" w:hAnsi="Calibri" w:cs="Calibri"/>
                <w:b/>
                <w:i/>
                <w:color w:val="000000"/>
                <w:sz w:val="18"/>
                <w:szCs w:val="18"/>
              </w:rPr>
            </w:pPr>
            <w:r>
              <w:rPr>
                <w:rFonts w:ascii="Calibri" w:eastAsia="Calibri" w:hAnsi="Calibri" w:cs="Calibri"/>
                <w:b/>
                <w:i/>
                <w:color w:val="000000"/>
                <w:sz w:val="18"/>
                <w:szCs w:val="18"/>
              </w:rPr>
              <w:t>Evaluation</w:t>
            </w:r>
          </w:p>
        </w:tc>
      </w:tr>
      <w:tr w:rsidR="008D28BB" w14:paraId="23D3184A" w14:textId="77777777" w:rsidTr="000B3355">
        <w:trPr>
          <w:trHeight w:val="267"/>
        </w:trPr>
        <w:tc>
          <w:tcPr>
            <w:tcW w:w="546" w:type="dxa"/>
            <w:tcBorders>
              <w:top w:val="single" w:sz="12" w:space="0" w:color="000000"/>
              <w:left w:val="nil"/>
              <w:bottom w:val="single" w:sz="4" w:space="0" w:color="000000"/>
              <w:right w:val="single" w:sz="4" w:space="0" w:color="000000"/>
            </w:tcBorders>
            <w:vAlign w:val="center"/>
          </w:tcPr>
          <w:p w14:paraId="2DCB6A82"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10.1016/j.vaccine.2019.09.025","ISSN":"0264410X","author":[{"dropping-particle":"","family":"Abdi","given":"Ikram","non-dropping-particle":"","parse-names":false,"suffix":""},{"dropping-particle":"","family":"Menzies","given":"Robert","non-dropping-particle":"","parse-names":false,"suffix":""},{"dropping-particle":"","family":"Seale","given":"Holly","non-dropping-particle":"","parse-names":false,"suffix":""}],"container-title":"Vaccine","id":"ITEM-1","issue":"44","issued":{"date-parts":[["2019","10"]]},"page":"6724-6729","title":"Barriers and facilitators of immunisation in refugees and migrants in Australia: an east-African case study","type":"article-journal","volume":"37"},"uris":["http://www.mendeley.com/documents/?uuid=fa351c20-d5c2-4173-ac0e-90d4db09bd79"]}],"mendeley":{"formattedCitation":"&lt;sup&gt;11&lt;/sup&gt;","plainTextFormattedCitation":"11","previouslyFormattedCitation":"&lt;sup&gt;11&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11</w:t>
            </w:r>
            <w:r w:rsidRPr="00D51E20">
              <w:rPr>
                <w:rFonts w:ascii="Calibri" w:eastAsia="Calibri" w:hAnsi="Calibri" w:cs="Calibri"/>
                <w:i/>
                <w:color w:val="000000"/>
              </w:rPr>
              <w:fldChar w:fldCharType="end"/>
            </w:r>
          </w:p>
        </w:tc>
        <w:tc>
          <w:tcPr>
            <w:tcW w:w="3620" w:type="dxa"/>
            <w:tcBorders>
              <w:top w:val="single" w:sz="12" w:space="0" w:color="000000"/>
              <w:left w:val="nil"/>
              <w:bottom w:val="single" w:sz="4" w:space="0" w:color="000000"/>
              <w:right w:val="single" w:sz="12" w:space="0" w:color="000000"/>
            </w:tcBorders>
            <w:shd w:val="clear" w:color="auto" w:fill="auto"/>
            <w:vAlign w:val="center"/>
          </w:tcPr>
          <w:p w14:paraId="6FC1C455"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Abdi, 2019</w:t>
            </w:r>
          </w:p>
        </w:tc>
        <w:tc>
          <w:tcPr>
            <w:tcW w:w="509" w:type="dxa"/>
            <w:tcBorders>
              <w:top w:val="single" w:sz="12" w:space="0" w:color="000000"/>
              <w:left w:val="single" w:sz="12" w:space="0" w:color="000000"/>
              <w:bottom w:val="single" w:sz="4" w:space="0" w:color="000000"/>
            </w:tcBorders>
            <w:shd w:val="clear" w:color="auto" w:fill="auto"/>
            <w:vAlign w:val="center"/>
          </w:tcPr>
          <w:p w14:paraId="7795D92D" w14:textId="77777777" w:rsidR="008D28BB" w:rsidRDefault="008D28BB" w:rsidP="000B3355">
            <w:pPr>
              <w:spacing w:after="0"/>
              <w:jc w:val="right"/>
              <w:rPr>
                <w:rFonts w:ascii="Calibri" w:eastAsia="Calibri" w:hAnsi="Calibri" w:cs="Calibri"/>
                <w:color w:val="000000"/>
              </w:rPr>
            </w:pPr>
            <w:bookmarkStart w:id="6" w:name="bookmark=id.1fob9te" w:colFirst="0" w:colLast="0"/>
            <w:bookmarkEnd w:id="6"/>
            <w:r>
              <w:rPr>
                <w:rFonts w:ascii="Calibri" w:eastAsia="Calibri" w:hAnsi="Calibri" w:cs="Calibri"/>
                <w:color w:val="000000"/>
              </w:rPr>
              <w:t> </w:t>
            </w:r>
          </w:p>
        </w:tc>
        <w:tc>
          <w:tcPr>
            <w:tcW w:w="595" w:type="dxa"/>
            <w:tcBorders>
              <w:top w:val="single" w:sz="12" w:space="0" w:color="000000"/>
              <w:bottom w:val="single" w:sz="4" w:space="0" w:color="000000"/>
              <w:right w:val="single" w:sz="4" w:space="0" w:color="000000"/>
            </w:tcBorders>
            <w:shd w:val="clear" w:color="auto" w:fill="auto"/>
            <w:vAlign w:val="center"/>
          </w:tcPr>
          <w:p w14:paraId="4AB98D8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12" w:space="0" w:color="000000"/>
              <w:left w:val="single" w:sz="4" w:space="0" w:color="000000"/>
              <w:bottom w:val="single" w:sz="4" w:space="0" w:color="000000"/>
            </w:tcBorders>
            <w:shd w:val="clear" w:color="auto" w:fill="auto"/>
            <w:vAlign w:val="center"/>
          </w:tcPr>
          <w:p w14:paraId="4B78645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12" w:space="0" w:color="000000"/>
              <w:bottom w:val="single" w:sz="4" w:space="0" w:color="000000"/>
              <w:right w:val="single" w:sz="4" w:space="0" w:color="000000"/>
            </w:tcBorders>
            <w:shd w:val="clear" w:color="auto" w:fill="auto"/>
            <w:vAlign w:val="center"/>
          </w:tcPr>
          <w:p w14:paraId="64AD483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12" w:space="0" w:color="000000"/>
              <w:left w:val="single" w:sz="4" w:space="0" w:color="000000"/>
              <w:bottom w:val="single" w:sz="4" w:space="0" w:color="000000"/>
            </w:tcBorders>
            <w:shd w:val="clear" w:color="auto" w:fill="auto"/>
            <w:vAlign w:val="center"/>
          </w:tcPr>
          <w:p w14:paraId="66B79F0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12" w:space="0" w:color="000000"/>
              <w:bottom w:val="single" w:sz="4" w:space="0" w:color="000000"/>
              <w:right w:val="single" w:sz="4" w:space="0" w:color="000000"/>
            </w:tcBorders>
            <w:shd w:val="clear" w:color="auto" w:fill="auto"/>
            <w:vAlign w:val="center"/>
          </w:tcPr>
          <w:p w14:paraId="2D5C827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12" w:space="0" w:color="000000"/>
              <w:left w:val="single" w:sz="4" w:space="0" w:color="000000"/>
              <w:bottom w:val="single" w:sz="4" w:space="0" w:color="000000"/>
            </w:tcBorders>
            <w:shd w:val="clear" w:color="auto" w:fill="auto"/>
            <w:vAlign w:val="center"/>
          </w:tcPr>
          <w:p w14:paraId="5107096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12" w:space="0" w:color="000000"/>
              <w:bottom w:val="single" w:sz="4" w:space="0" w:color="000000"/>
              <w:right w:val="single" w:sz="4" w:space="0" w:color="000000"/>
            </w:tcBorders>
            <w:shd w:val="clear" w:color="auto" w:fill="auto"/>
            <w:vAlign w:val="center"/>
          </w:tcPr>
          <w:p w14:paraId="1600379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12" w:space="0" w:color="000000"/>
              <w:left w:val="single" w:sz="4" w:space="0" w:color="000000"/>
              <w:bottom w:val="single" w:sz="4" w:space="0" w:color="000000"/>
            </w:tcBorders>
            <w:shd w:val="clear" w:color="auto" w:fill="auto"/>
            <w:vAlign w:val="center"/>
          </w:tcPr>
          <w:p w14:paraId="2160814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12" w:space="0" w:color="000000"/>
              <w:bottom w:val="single" w:sz="4" w:space="0" w:color="000000"/>
              <w:right w:val="nil"/>
            </w:tcBorders>
            <w:shd w:val="clear" w:color="auto" w:fill="auto"/>
            <w:vAlign w:val="center"/>
          </w:tcPr>
          <w:p w14:paraId="0E4C653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3643CEB7" w14:textId="77777777" w:rsidTr="000B3355">
        <w:trPr>
          <w:trHeight w:val="267"/>
        </w:trPr>
        <w:tc>
          <w:tcPr>
            <w:tcW w:w="546" w:type="dxa"/>
            <w:tcBorders>
              <w:top w:val="nil"/>
              <w:left w:val="nil"/>
              <w:bottom w:val="single" w:sz="4" w:space="0" w:color="000000"/>
              <w:right w:val="single" w:sz="4" w:space="0" w:color="000000"/>
            </w:tcBorders>
            <w:vAlign w:val="center"/>
          </w:tcPr>
          <w:p w14:paraId="7457A2A6"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color w:val="000000"/>
                <w:vertAlign w:val="superscript"/>
              </w:rPr>
              <w:fldChar w:fldCharType="begin" w:fldLock="1"/>
            </w:r>
            <w:r w:rsidRPr="00D51E20">
              <w:rPr>
                <w:rFonts w:ascii="Calibri" w:eastAsia="Calibri" w:hAnsi="Calibri" w:cs="Calibri"/>
                <w:color w:val="000000"/>
                <w:vertAlign w:val="superscript"/>
              </w:rPr>
              <w:instrText>ADDIN CSL_CITATION {"citationItems":[{"id":"ITEM-1","itemData":{"author":[{"dropping-particle":"","family":"ALISA – Azienda Ligure Sanitaria.","given":"","non-dropping-particle":"","parse-names":false,"suffix":""}],"id":"ITEM-1","issued":{"date-parts":[["2021"]]},"title":"Vaccinazione anti COVID-19 soggetti non registrati nel sistema sanitario regionale della Liguria. Circolare ALISA n. 15226 del 21.4.21","type":"report"},"uris":["http://www.mendeley.com/documents/?uuid=b44995c4-487f-4355-92b3-50e1d08b2233"]}],"mendeley":{"formattedCitation":"&lt;sup&gt;12&lt;/sup&gt;","plainTextFormattedCitation":"12","previouslyFormattedCitation":"&lt;sup&gt;12&lt;/sup&gt;"},"properties":{"noteIndex":0},"schema":"https://github.com/citation-style-language/schema/raw/master/csl-citation.json"}</w:instrText>
            </w:r>
            <w:r w:rsidRPr="00D51E20">
              <w:rPr>
                <w:rFonts w:ascii="Calibri" w:eastAsia="Calibri" w:hAnsi="Calibri" w:cs="Calibri"/>
                <w:color w:val="000000"/>
                <w:vertAlign w:val="superscript"/>
              </w:rPr>
              <w:fldChar w:fldCharType="separate"/>
            </w:r>
            <w:r w:rsidRPr="00D51E20">
              <w:rPr>
                <w:rFonts w:ascii="Calibri" w:eastAsia="Calibri" w:hAnsi="Calibri" w:cs="Calibri"/>
                <w:noProof/>
                <w:color w:val="000000"/>
                <w:vertAlign w:val="superscript"/>
              </w:rPr>
              <w:t>12</w:t>
            </w:r>
            <w:r w:rsidRPr="00D51E20">
              <w:rPr>
                <w:rFonts w:ascii="Calibri" w:eastAsia="Calibri" w:hAnsi="Calibri" w:cs="Calibri"/>
                <w:color w:val="000000"/>
                <w:vertAlign w:val="superscript"/>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107BD5A"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ALISA, 2021</w:t>
            </w:r>
          </w:p>
        </w:tc>
        <w:tc>
          <w:tcPr>
            <w:tcW w:w="509" w:type="dxa"/>
            <w:tcBorders>
              <w:top w:val="single" w:sz="4" w:space="0" w:color="000000"/>
              <w:left w:val="single" w:sz="12" w:space="0" w:color="000000"/>
              <w:bottom w:val="single" w:sz="4" w:space="0" w:color="000000"/>
            </w:tcBorders>
            <w:shd w:val="clear" w:color="auto" w:fill="auto"/>
            <w:vAlign w:val="center"/>
          </w:tcPr>
          <w:p w14:paraId="00F81A1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490C8EA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01C9C1B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41A348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C5DA96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603807F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60976A9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2BE23D5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215700F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21CC50C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1E371551" w14:textId="77777777" w:rsidTr="000B3355">
        <w:trPr>
          <w:trHeight w:val="267"/>
        </w:trPr>
        <w:tc>
          <w:tcPr>
            <w:tcW w:w="546" w:type="dxa"/>
            <w:tcBorders>
              <w:top w:val="nil"/>
              <w:left w:val="nil"/>
              <w:bottom w:val="single" w:sz="4" w:space="0" w:color="000000"/>
              <w:right w:val="single" w:sz="4" w:space="0" w:color="000000"/>
            </w:tcBorders>
            <w:vAlign w:val="center"/>
          </w:tcPr>
          <w:p w14:paraId="625E15F3"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color w:val="000000"/>
                <w:vertAlign w:val="superscript"/>
              </w:rPr>
              <w:fldChar w:fldCharType="begin" w:fldLock="1"/>
            </w:r>
            <w:r w:rsidRPr="00D51E20">
              <w:rPr>
                <w:rFonts w:ascii="Calibri" w:eastAsia="Calibri" w:hAnsi="Calibri" w:cs="Calibri"/>
                <w:color w:val="000000"/>
                <w:vertAlign w:val="superscript"/>
              </w:rPr>
              <w:instrText>ADDIN CSL_CITATION {"citationItems":[{"id":"ITEM-1","itemData":{"DOI":"10.1177/1043659618796909","ISSN":"1043-6596","abstract":"Introduction: Eastern Africa has the highest rates of cervical cancer incidence (42.7 per 100,000) and mortality (27.6 per 100,000), substantially higher than worldwide incidence (14.0 per 100,000) and mortality (6.8 per 100,000). The purpose of this study was to explore facilitators and barriers to cervical cancer screening and human papilloma virus (HPV) vaccination among Somali refugee women and their children. Method: Focus group discussions were conducted in August of 2016. Investigators performed systematic, comparative, and thematic data analyses. Results: The 31 Somali refugee participants ranged from 23 to 64 years old. Four major themes emerged: (1) knowledge, (2) facilitators, (3) decision making, and (4) views on intervention strategies. Doctor recommendation and family support were important facilitators. Community education was the most popular strategy in promoting screening and vaccine uptake. Discussion: Multilevel targeted interventions should increase knowledge and include family members to increase cervical cancer screening and HPV vaccination uptake in the Somali community.","author":[{"dropping-particle":"","family":"Allen","given":"Elizabeth M.","non-dropping-particle":"","parse-names":false,"suffix":""},{"dropping-particle":"","family":"Lee","given":"Hee Yun","non-dropping-particle":"","parse-names":false,"suffix":""},{"dropping-particle":"","family":"Pratt","given":"Rebekah","non-dropping-particle":"","parse-names":false,"suffix":""},{"dropping-particle":"","family":"Vang","given":"Houa","non-dropping-particle":"","parse-names":false,"suffix":""},{"dropping-particle":"","family":"Desai","given":"Jay R.","non-dropping-particle":"","parse-names":false,"suffix":""},{"dropping-particle":"","family":"Dube","given":"Amano","non-dropping-particle":"","parse-names":false,"suffix":""},{"dropping-particle":"","family":"Lightfoot","given":"Elizabeth","non-dropping-particle":"","parse-names":false,"suffix":""}],"container-title":"Journal of Transcultural Nursing","id":"ITEM-1","issue":"1","issued":{"date-parts":[["2019","1","31"]]},"page":"55-63","title":"Facilitators and Barriers of Cervical Cancer Screening and Human Papilloma Virus Vaccination Among Somali Refugee Women in the United States: A Qualitative Analysis","type":"article-journal","volume":"30"},"uris":["http://www.mendeley.com/documents/?uuid=e1f02410-b9f9-4a93-b91a-18d2be49106b"]}],"mendeley":{"formattedCitation":"&lt;sup&gt;13&lt;/sup&gt;","plainTextFormattedCitation":"13","previouslyFormattedCitation":"&lt;sup&gt;13&lt;/sup&gt;"},"properties":{"noteIndex":0},"schema":"https://github.com/citation-style-language/schema/raw/master/csl-citation.json"}</w:instrText>
            </w:r>
            <w:r w:rsidRPr="00D51E20">
              <w:rPr>
                <w:rFonts w:ascii="Calibri" w:eastAsia="Calibri" w:hAnsi="Calibri" w:cs="Calibri"/>
                <w:color w:val="000000"/>
                <w:vertAlign w:val="superscript"/>
              </w:rPr>
              <w:fldChar w:fldCharType="separate"/>
            </w:r>
            <w:r w:rsidRPr="00D51E20">
              <w:rPr>
                <w:rFonts w:ascii="Calibri" w:eastAsia="Calibri" w:hAnsi="Calibri" w:cs="Calibri"/>
                <w:noProof/>
                <w:color w:val="000000"/>
                <w:vertAlign w:val="superscript"/>
              </w:rPr>
              <w:t>13</w:t>
            </w:r>
            <w:r w:rsidRPr="00D51E20">
              <w:rPr>
                <w:rFonts w:ascii="Calibri" w:eastAsia="Calibri" w:hAnsi="Calibri" w:cs="Calibri"/>
                <w:color w:val="000000"/>
                <w:vertAlign w:val="superscript"/>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E7CF274"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Allen, 2019</w:t>
            </w:r>
          </w:p>
        </w:tc>
        <w:tc>
          <w:tcPr>
            <w:tcW w:w="509" w:type="dxa"/>
            <w:tcBorders>
              <w:top w:val="single" w:sz="4" w:space="0" w:color="000000"/>
              <w:left w:val="single" w:sz="12" w:space="0" w:color="000000"/>
              <w:bottom w:val="single" w:sz="4" w:space="0" w:color="000000"/>
            </w:tcBorders>
            <w:shd w:val="clear" w:color="auto" w:fill="auto"/>
            <w:vAlign w:val="center"/>
          </w:tcPr>
          <w:p w14:paraId="2A6E2A8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5F6337F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7C66E94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13102DE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EBC9F3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5534438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510FE11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693A448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B63085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2142E42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65EAA99F" w14:textId="77777777" w:rsidTr="000B3355">
        <w:trPr>
          <w:trHeight w:val="267"/>
        </w:trPr>
        <w:tc>
          <w:tcPr>
            <w:tcW w:w="546" w:type="dxa"/>
            <w:tcBorders>
              <w:top w:val="nil"/>
              <w:left w:val="nil"/>
              <w:bottom w:val="single" w:sz="4" w:space="0" w:color="000000"/>
              <w:right w:val="single" w:sz="4" w:space="0" w:color="000000"/>
            </w:tcBorders>
            <w:vAlign w:val="center"/>
          </w:tcPr>
          <w:p w14:paraId="42398EE8"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color w:val="000000"/>
                <w:vertAlign w:val="superscript"/>
              </w:rPr>
              <w:fldChar w:fldCharType="begin" w:fldLock="1"/>
            </w:r>
            <w:r w:rsidRPr="00D51E20">
              <w:rPr>
                <w:rFonts w:ascii="Calibri" w:eastAsia="Calibri" w:hAnsi="Calibri" w:cs="Calibri"/>
                <w:color w:val="000000"/>
                <w:vertAlign w:val="superscript"/>
              </w:rPr>
              <w:instrText>ADDIN CSL_CITATION {"citationItems":[{"id":"ITEM-1","itemData":{"DOI":"10.1016/j.lanepe.2021.100147","ISSN":"26667762","author":[{"dropping-particle":"","family":"Armocida","given":"Benedetta","non-dropping-particle":"","parse-names":false,"suffix":""},{"dropping-particle":"","family":"Formenti","given":"Beatrice","non-dropping-particle":"","parse-names":false,"suffix":""},{"dropping-particle":"","family":"Missoni","given":"Eduardo","non-dropping-particle":"","parse-names":false,"suffix":""},{"dropping-particle":"","family":"D'Apice","given":"Clelia","non-dropping-particle":"","parse-names":false,"suffix":""},{"dropping-particle":"","family":"Marchese","given":"Valentina","non-dropping-particle":"","parse-names":false,"suffix":""},{"dropping-particle":"","family":"Calvi","given":"Marzia","non-dropping-particle":"","parse-names":false,"suffix":""},{"dropping-particle":"","family":"Castelli","given":"Francesco","non-dropping-particle":"","parse-names":false,"suffix":""},{"dropping-particle":"","family":"Ussai","given":"Silvia","non-dropping-particle":"","parse-names":false,"suffix":""}],"container-title":"The Lancet Regional Health - Europe","id":"ITEM-1","issued":{"date-parts":[["2021","7"]]},"page":"100147","title":"Challenges in the equitable access to COVID-19 vaccines for migrant populations in Europe","type":"article-journal","volume":"6"},"uris":["http://www.mendeley.com/documents/?uuid=429b0eee-c699-4cdb-97f1-e687ca96e16a"]}],"mendeley":{"formattedCitation":"&lt;sup&gt;14&lt;/sup&gt;","plainTextFormattedCitation":"14","previouslyFormattedCitation":"&lt;sup&gt;14&lt;/sup&gt;"},"properties":{"noteIndex":0},"schema":"https://github.com/citation-style-language/schema/raw/master/csl-citation.json"}</w:instrText>
            </w:r>
            <w:r w:rsidRPr="00D51E20">
              <w:rPr>
                <w:rFonts w:ascii="Calibri" w:eastAsia="Calibri" w:hAnsi="Calibri" w:cs="Calibri"/>
                <w:color w:val="000000"/>
                <w:vertAlign w:val="superscript"/>
              </w:rPr>
              <w:fldChar w:fldCharType="separate"/>
            </w:r>
            <w:r w:rsidRPr="00D51E20">
              <w:rPr>
                <w:rFonts w:ascii="Calibri" w:eastAsia="Calibri" w:hAnsi="Calibri" w:cs="Calibri"/>
                <w:noProof/>
                <w:color w:val="000000"/>
                <w:vertAlign w:val="superscript"/>
              </w:rPr>
              <w:t>14</w:t>
            </w:r>
            <w:r w:rsidRPr="00D51E20">
              <w:rPr>
                <w:rFonts w:ascii="Calibri" w:eastAsia="Calibri" w:hAnsi="Calibri" w:cs="Calibri"/>
                <w:color w:val="000000"/>
                <w:vertAlign w:val="superscript"/>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352C22E3" w14:textId="77777777" w:rsidR="008D28BB" w:rsidRPr="00D51E20" w:rsidRDefault="008D28BB" w:rsidP="000B3355">
            <w:pPr>
              <w:spacing w:after="0"/>
              <w:rPr>
                <w:rFonts w:ascii="Calibri" w:eastAsia="Calibri" w:hAnsi="Calibri" w:cs="Calibri"/>
                <w:i/>
                <w:color w:val="000000"/>
              </w:rPr>
            </w:pPr>
            <w:proofErr w:type="spellStart"/>
            <w:r w:rsidRPr="00D51E20">
              <w:rPr>
                <w:rFonts w:ascii="Calibri" w:eastAsia="Calibri" w:hAnsi="Calibri" w:cs="Calibri"/>
                <w:i/>
                <w:color w:val="000000"/>
              </w:rPr>
              <w:t>Armocida</w:t>
            </w:r>
            <w:proofErr w:type="spellEnd"/>
            <w:r w:rsidRPr="00D51E20">
              <w:rPr>
                <w:rFonts w:ascii="Calibri" w:eastAsia="Calibri" w:hAnsi="Calibri" w:cs="Calibri"/>
                <w:i/>
                <w:color w:val="000000"/>
              </w:rPr>
              <w:t>, 2021</w:t>
            </w:r>
          </w:p>
        </w:tc>
        <w:tc>
          <w:tcPr>
            <w:tcW w:w="509" w:type="dxa"/>
            <w:tcBorders>
              <w:top w:val="single" w:sz="4" w:space="0" w:color="000000"/>
              <w:left w:val="single" w:sz="12" w:space="0" w:color="000000"/>
              <w:bottom w:val="single" w:sz="4" w:space="0" w:color="000000"/>
            </w:tcBorders>
            <w:shd w:val="clear" w:color="auto" w:fill="auto"/>
            <w:vAlign w:val="center"/>
          </w:tcPr>
          <w:p w14:paraId="794338A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22E2395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5BBF69A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944B60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C07471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7E3FFBF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77B1800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6F88816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62D91A9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DDD17E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rsidRPr="008D28BB" w14:paraId="0423DC98" w14:textId="77777777" w:rsidTr="000B3355">
        <w:trPr>
          <w:trHeight w:val="267"/>
        </w:trPr>
        <w:tc>
          <w:tcPr>
            <w:tcW w:w="546" w:type="dxa"/>
            <w:tcBorders>
              <w:top w:val="nil"/>
              <w:left w:val="nil"/>
              <w:bottom w:val="single" w:sz="4" w:space="0" w:color="000000"/>
              <w:right w:val="single" w:sz="4" w:space="0" w:color="000000"/>
            </w:tcBorders>
            <w:vAlign w:val="center"/>
          </w:tcPr>
          <w:p w14:paraId="767A1525" w14:textId="77777777" w:rsidR="008D28BB" w:rsidRPr="00D51E20" w:rsidRDefault="008D28BB" w:rsidP="000B3355">
            <w:pPr>
              <w:spacing w:after="0"/>
              <w:jc w:val="center"/>
              <w:rPr>
                <w:rFonts w:ascii="Calibri" w:eastAsia="Calibri" w:hAnsi="Calibri" w:cs="Calibri"/>
                <w:i/>
                <w:color w:val="000000"/>
                <w:lang w:val="it-IT"/>
              </w:rPr>
            </w:pPr>
            <w:r w:rsidRPr="00D51E20">
              <w:rPr>
                <w:rFonts w:ascii="Calibri" w:eastAsia="Calibri" w:hAnsi="Calibri" w:cs="Calibri"/>
                <w:color w:val="000000"/>
                <w:vertAlign w:val="superscript"/>
              </w:rPr>
              <w:fldChar w:fldCharType="begin" w:fldLock="1"/>
            </w:r>
            <w:r w:rsidRPr="00D51E20">
              <w:rPr>
                <w:rFonts w:ascii="Calibri" w:eastAsia="Calibri" w:hAnsi="Calibri" w:cs="Calibri"/>
                <w:color w:val="000000"/>
                <w:vertAlign w:val="superscript"/>
              </w:rPr>
              <w:instrText>ADDIN CSL_CITATION {"citationItems":[{"id":"ITEM-1","itemData":{"author":[{"dropping-particle":"","family":"Bandini L","given":"","non-dropping-particle":"","parse-names":false,"suffix":""},{"dropping-particle":"","family":"Caraglia A","given":"","non-dropping-particle":"","parse-names":false,"suffix":""},{"dropping-particle":"","family":"Caredda E","given":"","non-dropping-particle":"","parse-names":false,"suffix":""},{"dropping-particle":"","family":"D’ancona F","given":"","non-dropping-particle":"","parse-names":false,"suffix":""},{"dropping-particle":"","family":"Declich S","given":"","non-dropping-particle":"","parse-names":false,"suffix":""},{"dropping-particle":"","family":"Dente MG","given":"","non-dropping-particle":"","parse-names":false,"suffix":""},{"dropping-particle":"","family":"Filia A","given":"","non-dropping-particle":"","parse-names":false,"suffix":""},{"dropping-particle":"","family":"Fulceri F","given":"","non-dropping-particle":"","parse-names":false,"suffix":""},{"dropping-particle":"","family":"Geraci S","given":"","non-dropping-particle":"","parse-names":false,"suffix":""},{"dropping-particle":"","family":"Libianchi S","given":"","non-dropping-particle":"","parse-names":false,"suffix":""},{"dropping-particle":"","family":"Mancinelli R","given":"","non-dropping-particle":"","parse-names":false,"suffix":""},{"dropping-particle":"","family":"Manto A","given":"","non-dropping-particle":"","parse-names":false,"suffix":""},{"dropping-particle":"","family":"Marceca M","given":"","non-dropping-particle":"","parse-names":false,"suffix":""},{"dropping-particle":"","family":"Mazzilli S","given":"","non-dropping-particle":"","parse-names":false,"suffix":""},{"dropping-particle":"","family":"Minutillo A","given":"","non-dropping-particle":</w:instrText>
            </w:r>
            <w:r w:rsidRPr="00D51E20">
              <w:rPr>
                <w:rFonts w:ascii="Calibri" w:eastAsia="Calibri" w:hAnsi="Calibri" w:cs="Calibri"/>
                <w:color w:val="000000"/>
                <w:vertAlign w:val="superscript"/>
                <w:lang w:val="it-IT"/>
              </w:rPr>
              <w:instrText>"","parse-names":false,"suffix":""},{"dropping-particle":"","family":"Onder G","given":"","non-dropping-particle":"","parse-names":false,"suffix":""},{"dropping-particle":"","family":"Pacifici R","given":"","non-dropping-particle":"","parse-names":false,"suffix":""},{"dropping-particle":"","family":"Pantosti A","given":"","non-dropping-particle":"","parse-names":false,"suffix":""},{"dropping-particle":"","family":"Scattoni ML","given":"","non-dropping-particle":"","parse-names":false,"suffix":""},{"dropping-particle":"","family":"Siddu A","given":"","non-dropping-particle":"","parse-names":false,"suffix":""},{"dropping-particle":"","family":"Tavoschi L","given":"","non-dropping-particle":"","parse-names":false,"suffix":""},{"dropping-particle":"","family":"Tosti ME","given":"","non-dropping-particle":"","parse-names":false,"suffix":""},{"dropping-particle":"","family":"Vanacore N.","given":"","non-dropping-particle":"","parse-names":false,"suffix":""}],"id":"ITEM-1","issued":{"date-parts":[["2021"]]},"title":"Vaccinazione contro COVID-19 nelle comunità residenziali in Italia: priorità e modalità di implementazione ad interim","type":"report"},"uris":["http://www.mendeley.com/documents/?uuid=9e9d6525-a55a-4b1a-95e0-ac35c27082ec"]}],"mendeley":{"formattedCitation":"&lt;sup&gt;15&lt;/sup&gt;","plainTextFormattedCitation":"15","previouslyFormattedCitation":"&lt;sup&gt;15&lt;/sup&gt;"},"properties":{"noteIndex":0},"schema":"https://github.com/citation-style-language/schema/raw/master/csl-citation.json"}</w:instrText>
            </w:r>
            <w:r w:rsidRPr="00D51E20">
              <w:rPr>
                <w:rFonts w:ascii="Calibri" w:eastAsia="Calibri" w:hAnsi="Calibri" w:cs="Calibri"/>
                <w:color w:val="000000"/>
                <w:vertAlign w:val="superscript"/>
              </w:rPr>
              <w:fldChar w:fldCharType="separate"/>
            </w:r>
            <w:r w:rsidRPr="00D51E20">
              <w:rPr>
                <w:rFonts w:ascii="Calibri" w:eastAsia="Calibri" w:hAnsi="Calibri" w:cs="Calibri"/>
                <w:noProof/>
                <w:color w:val="000000"/>
                <w:vertAlign w:val="superscript"/>
                <w:lang w:val="it-IT"/>
              </w:rPr>
              <w:t>15</w:t>
            </w:r>
            <w:r w:rsidRPr="00D51E20">
              <w:rPr>
                <w:rFonts w:ascii="Calibri" w:eastAsia="Calibri" w:hAnsi="Calibri" w:cs="Calibri"/>
                <w:color w:val="000000"/>
                <w:vertAlign w:val="superscript"/>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48A2B38" w14:textId="77777777" w:rsidR="008D28BB" w:rsidRPr="00D51E20" w:rsidRDefault="008D28BB" w:rsidP="000B3355">
            <w:pPr>
              <w:spacing w:after="0"/>
              <w:rPr>
                <w:rFonts w:ascii="Calibri" w:eastAsia="Calibri" w:hAnsi="Calibri" w:cs="Calibri"/>
                <w:i/>
                <w:color w:val="000000"/>
                <w:lang w:val="it-IT"/>
              </w:rPr>
            </w:pPr>
            <w:r w:rsidRPr="00D51E20">
              <w:rPr>
                <w:rFonts w:ascii="Calibri" w:eastAsia="Calibri" w:hAnsi="Calibri" w:cs="Calibri"/>
                <w:i/>
                <w:color w:val="000000"/>
                <w:lang w:val="it-IT"/>
              </w:rPr>
              <w:t>Bandini, 2021</w:t>
            </w:r>
          </w:p>
        </w:tc>
        <w:tc>
          <w:tcPr>
            <w:tcW w:w="509" w:type="dxa"/>
            <w:tcBorders>
              <w:top w:val="single" w:sz="4" w:space="0" w:color="000000"/>
              <w:left w:val="single" w:sz="12" w:space="0" w:color="000000"/>
              <w:bottom w:val="single" w:sz="4" w:space="0" w:color="000000"/>
            </w:tcBorders>
            <w:shd w:val="clear" w:color="auto" w:fill="auto"/>
            <w:vAlign w:val="center"/>
          </w:tcPr>
          <w:p w14:paraId="03A8EA13"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02288F82"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69160EF8"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624" w:type="dxa"/>
            <w:tcBorders>
              <w:top w:val="single" w:sz="4" w:space="0" w:color="000000"/>
              <w:bottom w:val="single" w:sz="4" w:space="0" w:color="000000"/>
              <w:right w:val="single" w:sz="4" w:space="0" w:color="000000"/>
            </w:tcBorders>
            <w:shd w:val="clear" w:color="auto" w:fill="auto"/>
            <w:vAlign w:val="center"/>
          </w:tcPr>
          <w:p w14:paraId="0E492866"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472" w:type="dxa"/>
            <w:tcBorders>
              <w:top w:val="single" w:sz="4" w:space="0" w:color="000000"/>
              <w:left w:val="single" w:sz="4" w:space="0" w:color="000000"/>
              <w:bottom w:val="single" w:sz="4" w:space="0" w:color="000000"/>
            </w:tcBorders>
            <w:shd w:val="clear" w:color="auto" w:fill="auto"/>
            <w:vAlign w:val="center"/>
          </w:tcPr>
          <w:p w14:paraId="279F958A"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47" w:type="dxa"/>
            <w:tcBorders>
              <w:top w:val="single" w:sz="4" w:space="0" w:color="000000"/>
              <w:bottom w:val="single" w:sz="4" w:space="0" w:color="000000"/>
              <w:right w:val="single" w:sz="4" w:space="0" w:color="000000"/>
            </w:tcBorders>
            <w:shd w:val="clear" w:color="auto" w:fill="auto"/>
            <w:vAlign w:val="center"/>
          </w:tcPr>
          <w:p w14:paraId="3038A9B9"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562" w:type="dxa"/>
            <w:tcBorders>
              <w:top w:val="single" w:sz="4" w:space="0" w:color="000000"/>
              <w:left w:val="single" w:sz="4" w:space="0" w:color="000000"/>
              <w:bottom w:val="single" w:sz="4" w:space="0" w:color="000000"/>
            </w:tcBorders>
            <w:shd w:val="clear" w:color="auto" w:fill="auto"/>
            <w:vAlign w:val="center"/>
          </w:tcPr>
          <w:p w14:paraId="08D3E8D7"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657" w:type="dxa"/>
            <w:tcBorders>
              <w:top w:val="single" w:sz="4" w:space="0" w:color="000000"/>
              <w:bottom w:val="single" w:sz="4" w:space="0" w:color="000000"/>
              <w:right w:val="single" w:sz="4" w:space="0" w:color="000000"/>
            </w:tcBorders>
            <w:shd w:val="clear" w:color="auto" w:fill="auto"/>
            <w:vAlign w:val="center"/>
          </w:tcPr>
          <w:p w14:paraId="44983049"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472" w:type="dxa"/>
            <w:tcBorders>
              <w:top w:val="single" w:sz="4" w:space="0" w:color="000000"/>
              <w:left w:val="single" w:sz="4" w:space="0" w:color="000000"/>
              <w:bottom w:val="single" w:sz="4" w:space="0" w:color="000000"/>
            </w:tcBorders>
            <w:shd w:val="clear" w:color="auto" w:fill="auto"/>
            <w:vAlign w:val="center"/>
          </w:tcPr>
          <w:p w14:paraId="1D81327E"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39" w:type="dxa"/>
            <w:tcBorders>
              <w:top w:val="single" w:sz="4" w:space="0" w:color="000000"/>
              <w:bottom w:val="single" w:sz="4" w:space="0" w:color="000000"/>
              <w:right w:val="nil"/>
            </w:tcBorders>
            <w:shd w:val="clear" w:color="auto" w:fill="auto"/>
            <w:vAlign w:val="center"/>
          </w:tcPr>
          <w:p w14:paraId="007ADAAD"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r>
      <w:tr w:rsidR="008D28BB" w:rsidRPr="008D28BB" w14:paraId="032B37FA" w14:textId="77777777" w:rsidTr="000B3355">
        <w:trPr>
          <w:trHeight w:val="267"/>
        </w:trPr>
        <w:tc>
          <w:tcPr>
            <w:tcW w:w="546" w:type="dxa"/>
            <w:tcBorders>
              <w:top w:val="nil"/>
              <w:left w:val="nil"/>
              <w:bottom w:val="single" w:sz="4" w:space="0" w:color="000000"/>
              <w:right w:val="single" w:sz="4" w:space="0" w:color="000000"/>
            </w:tcBorders>
            <w:vAlign w:val="center"/>
          </w:tcPr>
          <w:p w14:paraId="6ED25A1B" w14:textId="77777777" w:rsidR="008D28BB" w:rsidRPr="00D51E20" w:rsidRDefault="008D28BB" w:rsidP="000B3355">
            <w:pPr>
              <w:spacing w:after="0"/>
              <w:jc w:val="center"/>
              <w:rPr>
                <w:rFonts w:ascii="Calibri" w:eastAsia="Calibri" w:hAnsi="Calibri" w:cs="Calibri"/>
                <w:i/>
                <w:color w:val="000000"/>
                <w:lang w:val="it-IT"/>
              </w:rPr>
            </w:pPr>
            <w:r w:rsidRPr="00D51E20">
              <w:rPr>
                <w:rFonts w:ascii="Calibri" w:eastAsia="Calibri" w:hAnsi="Calibri" w:cs="Calibri"/>
                <w:color w:val="000000"/>
                <w:vertAlign w:val="superscript"/>
              </w:rPr>
              <w:fldChar w:fldCharType="begin" w:fldLock="1"/>
            </w:r>
            <w:r w:rsidRPr="00D51E20">
              <w:rPr>
                <w:rFonts w:ascii="Calibri" w:eastAsia="Calibri" w:hAnsi="Calibri" w:cs="Calibri"/>
                <w:color w:val="000000"/>
                <w:vertAlign w:val="superscript"/>
                <w:lang w:val="it-IT"/>
              </w:rPr>
              <w:instrText>ADDIN CSL_CITATION {"citationItems":[{"id":"ITEM-1","itemData":{"author":[{"dropping-particle":"","family":"Bartovic J","given":"","non-dropping-particle":"","parse-names":false,"suffix":""},{"dropping-particle":"","family":"Datta SS","given":"","non-dropping-particle":"","parse-names":false,"suffix":""},{"dropping-particle":"","family":"Severoni S","given":"","non-dropping-particle":"","parse-names":false,"suffix":""},{"dropping-particle":"","family":"D'Anna V.","given":"","non-dropping-particle":"","parse-names":false,"suffix":""}],"id":"ITEM-1","issued":{"date-parts":[["2021"]]},"title":"Ensuring equitable access to vaccines for refugees and migrants during the COVID-19 pandemic","type":"article-journal"},"uris":["http://www.mendeley.com/documents/?uuid=9098f7d8-fb74-45e0-8d7c-6ced2520ffaa"]}],"mendeley":{"formattedCitation":"&lt;sup&gt;16&lt;/sup&gt;","plainTextFormattedCitation":"16","previouslyFormattedCitation":"&lt;sup&gt;16&lt;/sup&gt;"},"properties":{"noteIndex":0},"schema":"https://github.com/citation-style-language/schema/raw/master/csl-citation.json"}</w:instrText>
            </w:r>
            <w:r w:rsidRPr="00D51E20">
              <w:rPr>
                <w:rFonts w:ascii="Calibri" w:eastAsia="Calibri" w:hAnsi="Calibri" w:cs="Calibri"/>
                <w:color w:val="000000"/>
                <w:vertAlign w:val="superscript"/>
              </w:rPr>
              <w:fldChar w:fldCharType="separate"/>
            </w:r>
            <w:r w:rsidRPr="00D51E20">
              <w:rPr>
                <w:rFonts w:ascii="Calibri" w:eastAsia="Calibri" w:hAnsi="Calibri" w:cs="Calibri"/>
                <w:noProof/>
                <w:color w:val="000000"/>
                <w:vertAlign w:val="superscript"/>
                <w:lang w:val="it-IT"/>
              </w:rPr>
              <w:t>16</w:t>
            </w:r>
            <w:r w:rsidRPr="00D51E20">
              <w:rPr>
                <w:rFonts w:ascii="Calibri" w:eastAsia="Calibri" w:hAnsi="Calibri" w:cs="Calibri"/>
                <w:color w:val="000000"/>
                <w:vertAlign w:val="superscript"/>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6D7AD90" w14:textId="77777777" w:rsidR="008D28BB" w:rsidRPr="00D51E20" w:rsidRDefault="008D28BB" w:rsidP="000B3355">
            <w:pPr>
              <w:spacing w:after="0"/>
              <w:rPr>
                <w:rFonts w:ascii="Calibri" w:eastAsia="Calibri" w:hAnsi="Calibri" w:cs="Calibri"/>
                <w:i/>
                <w:color w:val="000000"/>
                <w:lang w:val="it-IT"/>
              </w:rPr>
            </w:pPr>
            <w:proofErr w:type="spellStart"/>
            <w:r w:rsidRPr="00D51E20">
              <w:rPr>
                <w:rFonts w:ascii="Calibri" w:eastAsia="Calibri" w:hAnsi="Calibri" w:cs="Calibri"/>
                <w:i/>
                <w:color w:val="000000"/>
                <w:lang w:val="it-IT"/>
              </w:rPr>
              <w:t>Bartovic</w:t>
            </w:r>
            <w:proofErr w:type="spellEnd"/>
            <w:r w:rsidRPr="00D51E20">
              <w:rPr>
                <w:rFonts w:ascii="Calibri" w:eastAsia="Calibri" w:hAnsi="Calibri" w:cs="Calibri"/>
                <w:i/>
                <w:color w:val="000000"/>
                <w:lang w:val="it-IT"/>
              </w:rPr>
              <w:t>, 2021</w:t>
            </w:r>
          </w:p>
        </w:tc>
        <w:tc>
          <w:tcPr>
            <w:tcW w:w="509" w:type="dxa"/>
            <w:tcBorders>
              <w:top w:val="single" w:sz="4" w:space="0" w:color="000000"/>
              <w:left w:val="single" w:sz="12" w:space="0" w:color="000000"/>
              <w:bottom w:val="single" w:sz="4" w:space="0" w:color="000000"/>
            </w:tcBorders>
            <w:shd w:val="clear" w:color="auto" w:fill="auto"/>
            <w:vAlign w:val="center"/>
          </w:tcPr>
          <w:p w14:paraId="6B2A292E"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4B7AA892"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3BA1C161"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24" w:type="dxa"/>
            <w:tcBorders>
              <w:top w:val="single" w:sz="4" w:space="0" w:color="000000"/>
              <w:bottom w:val="single" w:sz="4" w:space="0" w:color="000000"/>
              <w:right w:val="single" w:sz="4" w:space="0" w:color="000000"/>
            </w:tcBorders>
            <w:shd w:val="clear" w:color="auto" w:fill="auto"/>
            <w:vAlign w:val="center"/>
          </w:tcPr>
          <w:p w14:paraId="478485FF"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421566B9"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547" w:type="dxa"/>
            <w:tcBorders>
              <w:top w:val="single" w:sz="4" w:space="0" w:color="000000"/>
              <w:bottom w:val="single" w:sz="4" w:space="0" w:color="000000"/>
              <w:right w:val="single" w:sz="4" w:space="0" w:color="000000"/>
            </w:tcBorders>
            <w:shd w:val="clear" w:color="auto" w:fill="auto"/>
            <w:vAlign w:val="center"/>
          </w:tcPr>
          <w:p w14:paraId="4A128DF0"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562" w:type="dxa"/>
            <w:tcBorders>
              <w:top w:val="single" w:sz="4" w:space="0" w:color="000000"/>
              <w:left w:val="single" w:sz="4" w:space="0" w:color="000000"/>
              <w:bottom w:val="single" w:sz="4" w:space="0" w:color="000000"/>
            </w:tcBorders>
            <w:shd w:val="clear" w:color="auto" w:fill="auto"/>
            <w:vAlign w:val="center"/>
          </w:tcPr>
          <w:p w14:paraId="44DC1C02"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657" w:type="dxa"/>
            <w:tcBorders>
              <w:top w:val="single" w:sz="4" w:space="0" w:color="000000"/>
              <w:bottom w:val="single" w:sz="4" w:space="0" w:color="000000"/>
              <w:right w:val="single" w:sz="4" w:space="0" w:color="000000"/>
            </w:tcBorders>
            <w:shd w:val="clear" w:color="auto" w:fill="auto"/>
            <w:vAlign w:val="center"/>
          </w:tcPr>
          <w:p w14:paraId="4B2B612D"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5A3BDD21"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639" w:type="dxa"/>
            <w:tcBorders>
              <w:top w:val="single" w:sz="4" w:space="0" w:color="000000"/>
              <w:bottom w:val="single" w:sz="4" w:space="0" w:color="000000"/>
              <w:right w:val="nil"/>
            </w:tcBorders>
            <w:shd w:val="clear" w:color="auto" w:fill="auto"/>
            <w:vAlign w:val="center"/>
          </w:tcPr>
          <w:p w14:paraId="459F1667"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r>
      <w:tr w:rsidR="008D28BB" w14:paraId="008544FA" w14:textId="77777777" w:rsidTr="000B3355">
        <w:trPr>
          <w:trHeight w:val="267"/>
        </w:trPr>
        <w:tc>
          <w:tcPr>
            <w:tcW w:w="546" w:type="dxa"/>
            <w:tcBorders>
              <w:top w:val="nil"/>
              <w:left w:val="nil"/>
              <w:bottom w:val="single" w:sz="4" w:space="0" w:color="000000"/>
              <w:right w:val="single" w:sz="4" w:space="0" w:color="000000"/>
            </w:tcBorders>
            <w:vAlign w:val="center"/>
          </w:tcPr>
          <w:p w14:paraId="2C0F1B08"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lang w:val="it-IT"/>
              </w:rPr>
              <w:instrText>ADDIN CSL_CITATION {"citationItems":[{"id":"ITEM-1","itemData":{"DOI":"https://apps.who.int/iris/bitstream/handle/10665/326348/9789289051101-eng.pdf?sequence=1&amp;isAllowed=y","author":[{"dropping-particle":"","family":"Bradby H","given":"","non-dropping-particle":"","parse-names":false,"suffix":""},{"dropping-particle":"","family":"Humphris R","given":"","non-dropping-particle":"","parse-names":false,"suffix":""},{"dropping-particle":"","family":"Newall D","given":"","non-dropping-particle":"","parse-names":false,"suffix":""},{"dropping-particle":"","family":"Phillimore J.","given":"","non-dropping-particle":"","parse-names":false,"suffix":""}],"id":"ITEM-1","issued":{"date-parts":[["0"]]},"title":"Public health aspects of migrant health: a review of the evidence on health status for refugees and asylum seekers in the European Region","type":"report"},"uris":["http://www.mendeley.com/documents/?uuid=18d33be6-ff5b-41a5-aaa5-fcde3aa59ea8"]}],"mendeley":{"formattedCitation":"&lt;sup&gt;17&lt;/sup&gt;","plainTextFormattedCitation":"17","previouslyFormattedCitation":"&lt;sup&gt;17&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17</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5A8CD800"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Bradby, 2015</w:t>
            </w:r>
          </w:p>
        </w:tc>
        <w:tc>
          <w:tcPr>
            <w:tcW w:w="509" w:type="dxa"/>
            <w:tcBorders>
              <w:top w:val="single" w:sz="4" w:space="0" w:color="000000"/>
              <w:left w:val="single" w:sz="12" w:space="0" w:color="000000"/>
              <w:bottom w:val="single" w:sz="4" w:space="0" w:color="000000"/>
            </w:tcBorders>
            <w:shd w:val="clear" w:color="auto" w:fill="auto"/>
            <w:vAlign w:val="center"/>
          </w:tcPr>
          <w:p w14:paraId="68475D8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4DBE29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529110A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2237AC6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CDEDDC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1CEF627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26A0CE5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02189D0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54DAD1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FF68CD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621353C6" w14:textId="77777777" w:rsidTr="000B3355">
        <w:trPr>
          <w:trHeight w:val="267"/>
        </w:trPr>
        <w:tc>
          <w:tcPr>
            <w:tcW w:w="546" w:type="dxa"/>
            <w:tcBorders>
              <w:top w:val="nil"/>
              <w:left w:val="nil"/>
              <w:bottom w:val="single" w:sz="4" w:space="0" w:color="000000"/>
              <w:right w:val="single" w:sz="4" w:space="0" w:color="000000"/>
            </w:tcBorders>
            <w:vAlign w:val="center"/>
          </w:tcPr>
          <w:p w14:paraId="13B3D63F"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{"citationItems":[{"id":"ITEM-1","itemData":{"DOI":"10.1093/jtm/taab048","ISSN":"1195-1982","abstract":"Migrants have been disproportionately impacted by COVID-19 and emerging evidence suggests they may face barriers to COVID-19 vaccination. Participatory approaches and engagement strategies are urgently needed to strengthen uptake, alongside innovative delivery mechanisms and sharing of best practice, to ensure migrants are better consider within countries’ existing vaccine priority structures.","author":[{"dropping-particle":"","family":"Crawshaw","given":"Alison F","non-dropping-particle":"","parse-names":false,"suffix":""},{"dropping-particle":"","family":"Deal","given":"Anna","non-dropping-particle":"","parse-names":false,"suffix":""},{"dropping-particle":"","family":"Rustage","given":"Kieran","non-dropping-particle":"","parse-names":false,"suffix":""},{"dropping-particle":"","family":"Forster","given":"Alice S","non-dropping-particle":"","parse-names":false,"suffix":""},{"dropping-particle":"","family":"Campos-Matos","given":"Ines","non-dropping-particle":"","parse-names":false,"suffix":""},{"dropping-particle":"","family":"Vandrevala","given":"Tushna","non-dropping-particle":"","parse-names":false,"suffix":""},{"dropping-particle":"","family":"Würz","given":"Andrea","non-dropping-particle":"","parse-names":false,"suffix":""},{"dropping-particle":"","family":"Pharris","given":"Anastasia","non-dropping-particle":"","parse-names":false,"suffix":""},{"dropping-particle":"","family":"Suk","given":"Jonathan E","non-dropping-particle":"","parse-names":false,"suffix":""},{"dropping-particle":"","family":"Kinsman","given":"John","non-dropping-particle":"","parse-names":false,"suffix":""},{"dropping-particle":"","family":"Deogan","given":"Charlotte","non-dropping-particle":"","parse-names":false,"suffix":""},{"dropping-particle":"","family":"Miller","given":"Anna","non-dropping-particle":"","parse-names":false,"suffix":""},{"dropping-particle":"","family":"Declich","given":"Silvia","non-dropping-particle":"","parse-names":false,"suffix":""},{"dropping-particle":"","family":"Greenaway","given":"Chris","non-dropping-particle":"","parse-names":false,"suffix":""},{"dropping-particle":"","family":"Noori","given":"Teymur","non-dropping-particle":"","parse-names":false,"suffix":""},{"dropping-particle":"","family":"Hargreaves","given":"Sally","non-dropping-particle":"","parse-names":false,"suffix":""}],"container-title":"Journal of Travel Medicine","id":"ITEM-1","issue":"4","issued":{"date-parts":[["2021","6","1"]]},"title":"What must be done to tackle vaccine hesitancy and barriers to COVID-19 vaccination in migrants?","type":"article-journal","volume":"28"},"uris":["http://www.mendeley.com/documents/?uuid=c8ac6d0a-df04-462d-a6c9-742041afe455"]}],"mendeley":{"formattedCitation":"&lt;sup&gt;18&lt;/sup&gt;","plainTextFormattedCitation":"18","previouslyFormattedCitation":"&lt;sup&gt;18&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18</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52ED92F"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Crawshaw, 2021</w:t>
            </w:r>
          </w:p>
        </w:tc>
        <w:tc>
          <w:tcPr>
            <w:tcW w:w="509" w:type="dxa"/>
            <w:tcBorders>
              <w:top w:val="single" w:sz="4" w:space="0" w:color="000000"/>
              <w:left w:val="single" w:sz="12" w:space="0" w:color="000000"/>
              <w:bottom w:val="single" w:sz="4" w:space="0" w:color="000000"/>
            </w:tcBorders>
            <w:shd w:val="clear" w:color="auto" w:fill="auto"/>
            <w:vAlign w:val="center"/>
          </w:tcPr>
          <w:p w14:paraId="214EC6C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662D818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4" w:space="0" w:color="000000"/>
            </w:tcBorders>
            <w:shd w:val="clear" w:color="auto" w:fill="auto"/>
            <w:vAlign w:val="center"/>
          </w:tcPr>
          <w:p w14:paraId="7ACE4CA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75FF9F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1804407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762A95C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5AC1177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3CADE2C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5E2E9F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1D37004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r>
      <w:tr w:rsidR="008D28BB" w14:paraId="1D10793F" w14:textId="77777777" w:rsidTr="000B3355">
        <w:trPr>
          <w:trHeight w:val="267"/>
        </w:trPr>
        <w:tc>
          <w:tcPr>
            <w:tcW w:w="546" w:type="dxa"/>
            <w:tcBorders>
              <w:top w:val="nil"/>
              <w:left w:val="nil"/>
              <w:bottom w:val="single" w:sz="4" w:space="0" w:color="000000"/>
              <w:right w:val="single" w:sz="4" w:space="0" w:color="000000"/>
            </w:tcBorders>
            <w:vAlign w:val="center"/>
          </w:tcPr>
          <w:p w14:paraId="1A81CFEA"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{"citationItems":[{"id":"ITEM-1","itemData":{"DOI":"10.3390/ijerph15050968","ISSN":"1660-4601","author":[{"dropping-particle":"","family":"Dalla Zuanna","given":"Teresa","non-dropping-particle":"","parse-names":false,"suffix":""},{"dropping-particle":"","family":"Manso","given":"Martina","non-dropping-particle":"Del","parse-names":false,"suffix":""},{"dropping-particle":"","family":"Giambi","given":"Cristina","non-dropping-particle":"","parse-names":false,"suffix":""},{"dropping-particle":"","family":"Riccardo","given":"Flavia","non-dropping-particle":"","parse-names":false,"suffix":""},{"dropping-particle":"","family":"Bella","given":"Antonino","non-dropping-particle":"","parse-names":false,"suffix":""},{"dropping-particle":"","family":"Caporali","given":"Maria","non-dropping-particle":"","parse-names":false,"suffix":""},{"dropping-particle":"","family":"Dente","given":"Maria","non-dropping-particle":"","parse-names":false,"suffix":""},{"dropping-particle":"","family":"Declich","given":"Silvia","non-dropping-particle":"","parse-names":false,"suffix":""}],"container-title":"International Journal of Environmental Research and Public Health","id":"ITEM-1","issue":"5","issued":{"date-parts":[["2018","5","12"]]},"page":"968","title":"Immunization Offer Targeting Migrants: Policies and Practices in Italy","type":"article-journal","volume":"15"},"uris":["http://www.mendeley.com/documents/?uuid=eff6c666-3666-4918-b434-0247a3abdfd5"]}],"mendeley":{"formattedCitation":"&lt;sup&gt;19&lt;/sup&gt;","plainTextFormattedCitation":"19","previouslyFormattedCitation":"&lt;sup&gt;19&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19</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111F697"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 xml:space="preserve">Dalla </w:t>
            </w:r>
            <w:proofErr w:type="spellStart"/>
            <w:r w:rsidRPr="00D51E20">
              <w:rPr>
                <w:rFonts w:ascii="Calibri" w:eastAsia="Calibri" w:hAnsi="Calibri" w:cs="Calibri"/>
                <w:i/>
                <w:color w:val="000000"/>
              </w:rPr>
              <w:t>Zuanna</w:t>
            </w:r>
            <w:proofErr w:type="spellEnd"/>
            <w:r w:rsidRPr="00D51E20">
              <w:rPr>
                <w:rFonts w:ascii="Calibri" w:eastAsia="Calibri" w:hAnsi="Calibri" w:cs="Calibri"/>
                <w:i/>
                <w:color w:val="000000"/>
              </w:rPr>
              <w:t>, 2018</w:t>
            </w:r>
          </w:p>
        </w:tc>
        <w:tc>
          <w:tcPr>
            <w:tcW w:w="509" w:type="dxa"/>
            <w:tcBorders>
              <w:top w:val="single" w:sz="4" w:space="0" w:color="000000"/>
              <w:left w:val="single" w:sz="12" w:space="0" w:color="000000"/>
              <w:bottom w:val="single" w:sz="4" w:space="0" w:color="000000"/>
            </w:tcBorders>
            <w:shd w:val="clear" w:color="auto" w:fill="auto"/>
            <w:vAlign w:val="center"/>
          </w:tcPr>
          <w:p w14:paraId="292DA34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56DD728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08803A1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A41629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9710E3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013AD3A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48D79E8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12E9F64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49A583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39" w:type="dxa"/>
            <w:tcBorders>
              <w:top w:val="single" w:sz="4" w:space="0" w:color="000000"/>
              <w:bottom w:val="single" w:sz="4" w:space="0" w:color="000000"/>
              <w:right w:val="nil"/>
            </w:tcBorders>
            <w:shd w:val="clear" w:color="auto" w:fill="auto"/>
            <w:vAlign w:val="center"/>
          </w:tcPr>
          <w:p w14:paraId="2037F07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r>
      <w:tr w:rsidR="008D28BB" w14:paraId="2FEE3010" w14:textId="77777777" w:rsidTr="000B3355">
        <w:trPr>
          <w:trHeight w:val="267"/>
        </w:trPr>
        <w:tc>
          <w:tcPr>
            <w:tcW w:w="546" w:type="dxa"/>
            <w:tcBorders>
              <w:top w:val="nil"/>
              <w:left w:val="nil"/>
              <w:bottom w:val="single" w:sz="4" w:space="0" w:color="000000"/>
              <w:right w:val="single" w:sz="4" w:space="0" w:color="000000"/>
            </w:tcBorders>
            <w:vAlign w:val="center"/>
          </w:tcPr>
          <w:p w14:paraId="1C0816F8" w14:textId="77777777" w:rsidR="008D28BB" w:rsidRPr="00D51E20" w:rsidRDefault="008D28BB" w:rsidP="000B3355">
            <w:pPr>
              <w:spacing w:after="0"/>
              <w:jc w:val="center"/>
              <w:rPr>
                <w:rFonts w:ascii="Calibri" w:eastAsia="Calibri" w:hAnsi="Calibri" w:cs="Calibri"/>
                <w:i/>
                <w:color w:val="000000"/>
                <w:lang w:val="it-IT"/>
              </w:rPr>
            </w:pPr>
            <w:r w:rsidRPr="00D51E20">
              <w:rPr>
                <w:rFonts w:ascii="Calibri" w:eastAsia="Calibri" w:hAnsi="Calibri" w:cs="Calibri"/>
                <w:i/>
                <w:color w:val="000000"/>
              </w:rPr>
              <w:fldChar w:fldCharType="begin" w:fldLock="1"/>
            </w:r>
            <w:r w:rsidRPr="00D51E20">
              <w:rPr>
                <w:rFonts w:ascii="Calibri" w:eastAsia="Calibri" w:hAnsi="Calibri" w:cs="Calibri"/>
                <w:i/>
                <w:color w:val="000000"/>
                <w:lang w:val="it-IT"/>
              </w:rPr>
              <w:instrText>ADDIN CSL_CITATION {"citationItems":[{"id":"ITEM-1","itemData":{"author":[{"dropping-particle":"","family":"Vito E","given":"","non-dropping-particle":"De","parse-names":false,"suffix":""},{"dropping-particle":"","family":"Parente P","given":"","non-dropping-particle":"","parse-names":false,"suffix":""},{"dropping-particle":"","family":"Waure C","given":"","non-dropping-particle":"de","parse-names":false,"suffix":""},{"dropping-particle":"","family":"Poscia A","given":"","non-dropping-particle":"","parse-names":false,"suffix":""},{"dropping-particle":"","family":"Ricciardi W.","given":"","non-dropping-particle":"","parse-names":false,"suffix":""}],"id":"ITEM-1","issued":{"date-parts":[["2017"]]},"title":"A review of evidence on equitable delivery, access and utilization of immunization services for migrants and refugees in the WHO European Region","type":"report"},"uris":["http://www.mendeley.com/documents/?uuid=0a0ae6ac-23a7-438f-a09c-30f2762499d1"]}],"mendeley":{"formattedCitation":"&lt;sup&gt;20&lt;/sup&gt;","plainTextFormattedCitation":"20","previouslyFormattedCitation":"&lt;sup&gt;20&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lang w:val="it-IT"/>
              </w:rPr>
              <w:t>20</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D65DA98"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De Vito, 2017</w:t>
            </w:r>
          </w:p>
        </w:tc>
        <w:tc>
          <w:tcPr>
            <w:tcW w:w="509" w:type="dxa"/>
            <w:tcBorders>
              <w:top w:val="single" w:sz="4" w:space="0" w:color="000000"/>
              <w:left w:val="single" w:sz="12" w:space="0" w:color="000000"/>
              <w:bottom w:val="single" w:sz="4" w:space="0" w:color="000000"/>
            </w:tcBorders>
            <w:shd w:val="clear" w:color="auto" w:fill="auto"/>
            <w:vAlign w:val="center"/>
          </w:tcPr>
          <w:p w14:paraId="477FE36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10435C0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032D62B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7F2FC8F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673E5D9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5E9945F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391D117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2B33865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72B6042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4BCA6E1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r>
      <w:tr w:rsidR="008D28BB" w14:paraId="2F6DCF00" w14:textId="77777777" w:rsidTr="000B3355">
        <w:trPr>
          <w:trHeight w:val="267"/>
        </w:trPr>
        <w:tc>
          <w:tcPr>
            <w:tcW w:w="546" w:type="dxa"/>
            <w:tcBorders>
              <w:top w:val="nil"/>
              <w:left w:val="nil"/>
              <w:bottom w:val="single" w:sz="4" w:space="0" w:color="000000"/>
              <w:right w:val="single" w:sz="4" w:space="0" w:color="000000"/>
            </w:tcBorders>
            <w:vAlign w:val="center"/>
          </w:tcPr>
          <w:p w14:paraId="5FB6A922"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{"citationItems":[{"id":"ITEM-1","itemData":{"DOI":"10.1016/j.jmh.2021.100050","ISSN":"26666235","author":[{"dropping-particle":"","family":"Deal","given":"Anna","non-dropping-particle":"","parse-names":false,"suffix":""},{"dropping-particle":"","family":"Hayward","given":"Sally E","non-dropping-particle":"","parse-names":false,"suffix":""},{"dropping-particle":"","family":"Huda","given":"Mashal","non-dropping-particle":"","parse-names":false,"suffix":""},{"dropping-particle":"","family":"Knights","given":"Felicity","non-dropping-particle":"","parse-names":false,"suffix":""},{"dropping-particle":"","family":"Crawshaw","given":"Alison F","non-dropping-particle":"","parse-names":false,"suffix":""},{"dropping-particle":"","family":"Carter","given":"Jessica","non-dropping-particle":"","parse-names":false,"suffix":""},{"dropping-particle":"","family":"Hassan","given":"Osama B","non-dropping-particle":"","parse-names":false,"suffix":""},{"dropping-particle":"","family":"Farah","given":"Yasmin","non-dropping-particle":"","parse-names":false,"suffix":""},{"dropping-particle":"","family":"Ciftci","given":"Yusuf","non-dropping-particle":"","parse-names":false,"suffix":""},{"dropping-particle":"","family":"Rowland-Pomp","given":"May","non-dropping-particle":"","parse-names":false,"suffix":""},{"dropping-particle":"","family":"Rustage","given":"Kieran","non-dropping-particle":"","parse-names":false,"suffix":""},{"dropping-particle":"","family":"Goldsmith","given":"Lucy","non-dropping-particle":"","parse-names":false,"suffix":""},{"dropping-particle":"","family":"Hartmann","given":"Monika","non-dropping-particle":"","parse-names":false,"suffix":""},{"dropping-particle":"","family":"Mounier-Jack","given":"Sandra","non-dropping-particle":"","parse-names":false,"suffix":""},{"dropping-particle":"","family":"Burns","given":"Rachel","non-dropping-particle":"","parse-names":false,"suffix":""},{"dropping-particle":"","family":"Miller","given":"Anna","non-dropping-particle":"","parse-names":false,"suffix":""},{"dropping-particle":"","family":"Wurie","given":"Fatima","non-dropping-particle":"","parse-names":false,"suffix":""},{"dropping-particle":"","family":"Campos-Matos","given":"Ines","non-dropping-particle":"","parse-names":false,"suffix":""},{"dropping-particle":"","family":"Majeed","given":"Azeem","non-dropping-particle":"","parse-names":false,"suffix":""},{"dropping-particle":"","family":"Hargreaves","given":"Sally","non-dropping-particle":"","parse-names":false,"suffix":""}],"container-title":"Journal of Migration and Health","id":"ITEM-1","issued":{"date-parts":[["2021"]]},"page":"100050","title":"Strategies and action points to ensure equitable uptake of COVID-19 vaccinations: A national qualitative interview study to explore the views of undocumented migrants, asylum seekers, and refugees","type":"article-journal","volume":"4"},"uris":["http://www.mendeley.com/documents/?uuid=4d7ececd-2dd8-46bb-81c1-a49c10e94431"]}],"mendeley":{"formattedCitation":"&lt;sup&gt;21&lt;/sup&gt;","plainTextFormattedCitation":"21","previouslyFormattedCitation":"&lt;sup&gt;21&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21</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D835696"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Deal, 2021</w:t>
            </w:r>
          </w:p>
        </w:tc>
        <w:tc>
          <w:tcPr>
            <w:tcW w:w="509" w:type="dxa"/>
            <w:tcBorders>
              <w:top w:val="single" w:sz="4" w:space="0" w:color="000000"/>
              <w:left w:val="single" w:sz="12" w:space="0" w:color="000000"/>
              <w:bottom w:val="single" w:sz="4" w:space="0" w:color="000000"/>
            </w:tcBorders>
            <w:shd w:val="clear" w:color="auto" w:fill="auto"/>
            <w:vAlign w:val="center"/>
          </w:tcPr>
          <w:p w14:paraId="329DC58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9AEE05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74E275A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2EC94D8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BB0329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3191E96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45B3FBB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24CD945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DC1CD0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EE2D76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588DBA5E" w14:textId="77777777" w:rsidTr="000B3355">
        <w:trPr>
          <w:trHeight w:val="267"/>
        </w:trPr>
        <w:tc>
          <w:tcPr>
            <w:tcW w:w="546" w:type="dxa"/>
            <w:tcBorders>
              <w:top w:val="nil"/>
              <w:left w:val="nil"/>
              <w:bottom w:val="single" w:sz="4" w:space="0" w:color="000000"/>
              <w:right w:val="single" w:sz="4" w:space="0" w:color="000000"/>
            </w:tcBorders>
            <w:vAlign w:val="center"/>
          </w:tcPr>
          <w:p w14:paraId="22AB0B45"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{"citationItems":[{"id":"ITEM-1","itemData":{"DOI":"10.1093/acrefore/9780190632366.013.67","author":[{"dropping-particle":"","family":"Declich","given":"Silvia","non-dropping-particle":"","parse-names":false,"suffix":""},{"dropping-particle":"","family":"Dente","given":"Maria Grazia","non-dropping-particle":"","parse-names":false,"suffix":""},{"dropping-particle":"","family":"Greenaway","given":"Christina","non-dropping-particle":"","parse-names":false,"suffix":""},{"dropping-particle":"","family":"Castelli","given":"Francesco","non-dropping-particle":"","parse-names":false,"suffix":""}],"container-title":"Oxford Research Encyclopedia of Global Public Health","id":"ITEM-1","issued":{"date-parts":[["2021","3","25"]]},"publisher":"Oxford University Press","title":"Infectious Diseases Among Migrant Populations","type":"chapter"},"uris":["http://www.mendeley.com/documents/?uuid=ac26301f-ca8f-49cf-b5c5-4c5aa23a6bc2"]}],"mendeley":{"formattedCitation":"&lt;sup&gt;22&lt;/sup&gt;","plainTextFormattedCitation":"22","previouslyFormattedCitation":"&lt;sup&gt;22&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22</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6DC087F" w14:textId="77777777" w:rsidR="008D28BB" w:rsidRPr="00D51E20" w:rsidRDefault="008D28BB" w:rsidP="000B3355">
            <w:pPr>
              <w:spacing w:after="0"/>
              <w:rPr>
                <w:rFonts w:ascii="Calibri" w:eastAsia="Calibri" w:hAnsi="Calibri" w:cs="Calibri"/>
                <w:i/>
                <w:color w:val="000000"/>
              </w:rPr>
            </w:pPr>
            <w:proofErr w:type="spellStart"/>
            <w:r w:rsidRPr="00D51E20">
              <w:rPr>
                <w:rFonts w:ascii="Calibri" w:eastAsia="Calibri" w:hAnsi="Calibri" w:cs="Calibri"/>
                <w:i/>
                <w:color w:val="000000"/>
              </w:rPr>
              <w:t>Declich</w:t>
            </w:r>
            <w:proofErr w:type="spellEnd"/>
            <w:r w:rsidRPr="00D51E20">
              <w:rPr>
                <w:rFonts w:ascii="Calibri" w:eastAsia="Calibri" w:hAnsi="Calibri" w:cs="Calibri"/>
                <w:i/>
                <w:color w:val="000000"/>
              </w:rPr>
              <w:t>, 2021</w:t>
            </w:r>
          </w:p>
        </w:tc>
        <w:tc>
          <w:tcPr>
            <w:tcW w:w="509" w:type="dxa"/>
            <w:tcBorders>
              <w:top w:val="single" w:sz="4" w:space="0" w:color="000000"/>
              <w:left w:val="single" w:sz="12" w:space="0" w:color="000000"/>
              <w:bottom w:val="single" w:sz="4" w:space="0" w:color="000000"/>
            </w:tcBorders>
            <w:shd w:val="clear" w:color="auto" w:fill="auto"/>
            <w:vAlign w:val="center"/>
          </w:tcPr>
          <w:p w14:paraId="123EACF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097EDF8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6352A07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73E33F0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FF535F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2D2564A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0E9365F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47BB5B8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79B3C0C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7FF797F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3C5AB33C" w14:textId="77777777" w:rsidTr="000B3355">
        <w:trPr>
          <w:trHeight w:val="267"/>
        </w:trPr>
        <w:tc>
          <w:tcPr>
            <w:tcW w:w="546" w:type="dxa"/>
            <w:tcBorders>
              <w:top w:val="nil"/>
              <w:left w:val="nil"/>
              <w:bottom w:val="single" w:sz="4" w:space="0" w:color="000000"/>
              <w:right w:val="single" w:sz="4" w:space="0" w:color="000000"/>
            </w:tcBorders>
            <w:vAlign w:val="center"/>
          </w:tcPr>
          <w:p w14:paraId="503387AE" w14:textId="77777777" w:rsidR="008D28BB" w:rsidRPr="00D51E20" w:rsidRDefault="008D28BB" w:rsidP="000B3355">
            <w:pPr>
              <w:spacing w:after="0"/>
              <w:jc w:val="center"/>
              <w:rPr>
                <w:rFonts w:ascii="Calibri" w:eastAsia="Calibri" w:hAnsi="Calibri" w:cs="Calibri"/>
                <w:i/>
                <w:color w:val="000000"/>
                <w:lang w:val="it-IT"/>
              </w:rPr>
            </w:pPr>
            <w:r w:rsidRPr="00D51E20">
              <w:rPr>
                <w:rFonts w:ascii="Calibri" w:eastAsia="Calibri" w:hAnsi="Calibri" w:cs="Calibri"/>
                <w:i/>
                <w:color w:val="000000"/>
              </w:rPr>
              <w:fldChar w:fldCharType="begin" w:fldLock="1"/>
            </w:r>
            <w:r w:rsidRPr="00D51E20">
              <w:rPr>
                <w:rFonts w:ascii="Calibri" w:eastAsia="Calibri" w:hAnsi="Calibri" w:cs="Calibri"/>
                <w:i/>
                <w:color w:val="000000"/>
                <w:lang w:val="it-IT"/>
              </w:rPr>
              <w:instrText>ADDIN CSL_CITATION {"citationItems":[{"id":"ITEM-1","itemData":{"author":[{"dropping-particle":"","family":"Manso M","given":"","non-dropping-particle":"Del","parse-names":false,"suffix":""},{"dropping-particle":"","family":"Giambi C","given":"","non-dropping-particle":"","parse-names":false,"suffix":""},{"dropping-particle":"","family":"Dalla Zuanna T","given":"","non-dropping-particle":"","parse-names":false,"suffix":""},{"dropping-particle":"","family":"Riccardo F","given":"","non-dropping-particle":"","parse-names":false,"suffix":""},{"dropping-particle":"","family":"Bella A","given":"","non-dropping-particle":"","parse-names":false,"suffix":""},{"dropping-particle":"","family":"Caporali MG","given":"","non-dropping-particle":"","parse-names":false,"suffix":""},{"dropping-particle":"","family":"Dente MG","given":"","non-dropping-particle":"","parse-names":false,"suffix":""},{"dropping-particle":"","family":"Declich S.","given":"","non-dropping-particle":"","parse-names":false,"suffix":""}],"id":"ITEM-1","issued":{"date-parts":[["2017"]]},"title":"Report on the survey on immunization offer targeting newly arrived migrants. CARE project","type":"report"},"uris":["http://www.mendeley.com/documents/?uuid=4e7b6fc4-0566-4652-85c3-39104d31ceae"]}],"mendeley":{"formattedCitation":"&lt;sup&gt;23&lt;/sup&gt;","plainTextFormattedCitation":"23","previouslyFormattedCitation":"&lt;sup&gt;23&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lang w:val="it-IT"/>
              </w:rPr>
              <w:t>23</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3E90EC0"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 xml:space="preserve">Del </w:t>
            </w:r>
            <w:proofErr w:type="spellStart"/>
            <w:r w:rsidRPr="00D51E20">
              <w:rPr>
                <w:rFonts w:ascii="Calibri" w:eastAsia="Calibri" w:hAnsi="Calibri" w:cs="Calibri"/>
                <w:i/>
                <w:color w:val="000000"/>
              </w:rPr>
              <w:t>Manso</w:t>
            </w:r>
            <w:proofErr w:type="spellEnd"/>
            <w:r w:rsidRPr="00D51E20">
              <w:rPr>
                <w:rFonts w:ascii="Calibri" w:eastAsia="Calibri" w:hAnsi="Calibri" w:cs="Calibri"/>
                <w:i/>
                <w:color w:val="000000"/>
              </w:rPr>
              <w:t>, 2017</w:t>
            </w:r>
          </w:p>
        </w:tc>
        <w:tc>
          <w:tcPr>
            <w:tcW w:w="509" w:type="dxa"/>
            <w:tcBorders>
              <w:top w:val="single" w:sz="4" w:space="0" w:color="000000"/>
              <w:left w:val="single" w:sz="12" w:space="0" w:color="000000"/>
              <w:bottom w:val="single" w:sz="4" w:space="0" w:color="000000"/>
            </w:tcBorders>
            <w:shd w:val="clear" w:color="auto" w:fill="auto"/>
            <w:vAlign w:val="center"/>
          </w:tcPr>
          <w:p w14:paraId="7EE7D53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EEB3CF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418E294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05D2F51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91255B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1F6E405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63A6352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7A52B95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29D2F1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7323B81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rsidRPr="007D4BDC" w14:paraId="603F4E61" w14:textId="77777777" w:rsidTr="000B3355">
        <w:trPr>
          <w:trHeight w:val="267"/>
        </w:trPr>
        <w:tc>
          <w:tcPr>
            <w:tcW w:w="546" w:type="dxa"/>
            <w:tcBorders>
              <w:top w:val="nil"/>
              <w:left w:val="nil"/>
              <w:bottom w:val="single" w:sz="4" w:space="0" w:color="000000"/>
              <w:right w:val="single" w:sz="4" w:space="0" w:color="000000"/>
            </w:tcBorders>
            <w:vAlign w:val="center"/>
          </w:tcPr>
          <w:p w14:paraId="7E9ACCF3" w14:textId="77777777" w:rsidR="008D28BB" w:rsidRPr="00D51E20" w:rsidRDefault="008D28BB" w:rsidP="000B3355">
            <w:pPr>
              <w:spacing w:after="0"/>
              <w:jc w:val="center"/>
              <w:rPr>
                <w:rFonts w:ascii="Calibri" w:eastAsia="Calibri" w:hAnsi="Calibri" w:cs="Calibri"/>
                <w:i/>
                <w:color w:val="000000"/>
                <w:lang w:val="it-IT"/>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{"citationItems":[{"id":"ITEM-1","itemData":{"DOI":"10.3390/ijerph15112329","ISSN":"1660-4601","abstract":"In the EU/EEA, subgroups of international migrants have an increased prevalence of certain infectious diseases. The objective of this study was to examine migrants’ acceptability, value placed on outcomes, and accessibility of infectious disease interventions. We conducted a systematic review of qualitative reviews adhering to the PRISMA reporting guidelines. We searched MEDLINE, EMBASE, CINAHL, DARE, and CDSR, and assessed review quality using AMSTAR. We conducted a framework analysis based on the Health Beliefs Model, which was used to organize our preliminary findings with respect to the beliefs that underlie preventive health behavior, including knowledge of risk factors, perceived susceptibility, severity and barriers, and cues to action. We assessed confidence in findings using an adapted GRADE CERQual tool. We included 11 qualitative systematic reviews from 2111 articles. In these studies, migrants report several facilitators to public health interventions. Acceptability depended on migrants’ relationship with healthcare practitioners, knowledge of the disease, and degree of disease-related stigma. Facilitators to public health interventions relevant for migrant populations may provide clues for implementation. Trust, cultural sensitivity, and communication skills also have implications for linkage to care and public health practitioner education. Recommendations from practitioners continue to play a key role in the acceptance of infectious disease interventions.","author":[{"dropping-particle":"","family":"Driedger","given":"Matt","non-dropping-particle":"","parse-names":false,"suffix":""},{"dropping-particle":"","family":"Mayhew","given":"Alain","non-dropping-particle":"","parse-names":false,"suffix":""},{"dropping-particle":"","family":"Welch","given":"Vivian","non-dropping-particle":"","parse-names":false,"suffix":""},{"dropping-particle":"","family":"Agbata","given":"Eric","non-dropping-particle":"","parse-names":false,"suffix":""},{"dropping-particle":"","family":"Gruner","given":"Doug","non-dropping-particle":"","parse-names":false,"suffix":""},{"dropping-particle":"","family":"Greenaway","given":"Christina","non-dropping-particle":"","parse-names":false,"suffix":""},{"dropping-particle":"","family":"Noori","given":"Teymur","non-dropping-particle":"","parse-names":false,"suffix":""},{"dropping-particle":"","family":"Sandu","given":"Monica","non-dropping-particle":"","parse-names":false,"suffix":""},{"dropping-particle":"","family":"Sangou","given":"Thierry","non-dropping-particle":"","parse-names":false,"suffix":""},{"dropping-particle":"","family":"Mathew","given":"Christine","non-dropping-particle":"","parse-names":false,"suffix":""},{"dropping-particle":"","family":"Kaur","given":"Harneel","non-dropping-particle":"","parse-names":false,"suffix":""},{"dropping-particle":"","family":"Pareek","given":"Manish","non-dropping-particle":"","parse-names":false,"suffix":""},{"dropping-particle":"","family":"Pottie","given":"Kevin","non-dropping-particle":"","parse-names":false,"suffix":""}],"container-title":"International Journal of Environmental Research and Public Health","id":"ITEM-1","issue":"11","issued":{"date-parts":[["2018","10","23"]]},"page":"2329","title":"Accessibility and Acceptability of Infectious Disease Interventions Among Migrants in the EU/EEA: A CERQual Systematic Review","type":"article-journal","volume":"15"},"uris":["http://www.mendeley.com/documents/?uuid=e5f1864a-bdd8-4a0a-b879-e730b33ec8d0"]}],"mendeley":{"formattedCitation":"&lt;sup&gt;24&lt;/sup&gt;","plainTextFormattedCitation":"24","previouslyFormattedCitation":"&lt;sup&gt;24&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lang w:val="it-IT"/>
              </w:rPr>
              <w:t>24</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3B58369" w14:textId="77777777" w:rsidR="008D28BB" w:rsidRPr="00D51E20" w:rsidRDefault="008D28BB" w:rsidP="000B3355">
            <w:pPr>
              <w:spacing w:after="0"/>
              <w:rPr>
                <w:rFonts w:ascii="Calibri" w:eastAsia="Calibri" w:hAnsi="Calibri" w:cs="Calibri"/>
                <w:i/>
                <w:color w:val="000000"/>
                <w:lang w:val="it-IT"/>
              </w:rPr>
            </w:pPr>
            <w:proofErr w:type="spellStart"/>
            <w:r w:rsidRPr="00D51E20">
              <w:rPr>
                <w:rFonts w:ascii="Calibri" w:eastAsia="Calibri" w:hAnsi="Calibri" w:cs="Calibri"/>
                <w:i/>
                <w:color w:val="000000"/>
                <w:lang w:val="it-IT"/>
              </w:rPr>
              <w:t>Driedger</w:t>
            </w:r>
            <w:proofErr w:type="spellEnd"/>
            <w:r w:rsidRPr="00D51E20">
              <w:rPr>
                <w:rFonts w:ascii="Calibri" w:eastAsia="Calibri" w:hAnsi="Calibri" w:cs="Calibri"/>
                <w:i/>
                <w:color w:val="000000"/>
                <w:lang w:val="it-IT"/>
              </w:rPr>
              <w:t>, 2018</w:t>
            </w:r>
          </w:p>
        </w:tc>
        <w:tc>
          <w:tcPr>
            <w:tcW w:w="509" w:type="dxa"/>
            <w:tcBorders>
              <w:top w:val="single" w:sz="4" w:space="0" w:color="000000"/>
              <w:left w:val="single" w:sz="12" w:space="0" w:color="000000"/>
              <w:bottom w:val="single" w:sz="4" w:space="0" w:color="000000"/>
            </w:tcBorders>
            <w:shd w:val="clear" w:color="auto" w:fill="auto"/>
            <w:vAlign w:val="center"/>
          </w:tcPr>
          <w:p w14:paraId="357F13CF"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6727BCAC"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7A7DEF78"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24" w:type="dxa"/>
            <w:tcBorders>
              <w:top w:val="single" w:sz="4" w:space="0" w:color="000000"/>
              <w:bottom w:val="single" w:sz="4" w:space="0" w:color="000000"/>
              <w:right w:val="single" w:sz="4" w:space="0" w:color="000000"/>
            </w:tcBorders>
            <w:shd w:val="clear" w:color="auto" w:fill="auto"/>
            <w:vAlign w:val="center"/>
          </w:tcPr>
          <w:p w14:paraId="4C58B864"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02A6C074"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547" w:type="dxa"/>
            <w:tcBorders>
              <w:top w:val="single" w:sz="4" w:space="0" w:color="000000"/>
              <w:bottom w:val="single" w:sz="4" w:space="0" w:color="000000"/>
              <w:right w:val="single" w:sz="4" w:space="0" w:color="000000"/>
            </w:tcBorders>
            <w:shd w:val="clear" w:color="auto" w:fill="auto"/>
            <w:vAlign w:val="center"/>
          </w:tcPr>
          <w:p w14:paraId="5231D9BD"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562" w:type="dxa"/>
            <w:tcBorders>
              <w:top w:val="single" w:sz="4" w:space="0" w:color="000000"/>
              <w:left w:val="single" w:sz="4" w:space="0" w:color="000000"/>
              <w:bottom w:val="single" w:sz="4" w:space="0" w:color="000000"/>
            </w:tcBorders>
            <w:shd w:val="clear" w:color="auto" w:fill="auto"/>
            <w:vAlign w:val="center"/>
          </w:tcPr>
          <w:p w14:paraId="5D7AF8F5"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57" w:type="dxa"/>
            <w:tcBorders>
              <w:top w:val="single" w:sz="4" w:space="0" w:color="000000"/>
              <w:bottom w:val="single" w:sz="4" w:space="0" w:color="000000"/>
              <w:right w:val="single" w:sz="4" w:space="0" w:color="000000"/>
            </w:tcBorders>
            <w:shd w:val="clear" w:color="auto" w:fill="auto"/>
            <w:vAlign w:val="center"/>
          </w:tcPr>
          <w:p w14:paraId="51ADC2EB"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121B8B23"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39" w:type="dxa"/>
            <w:tcBorders>
              <w:top w:val="single" w:sz="4" w:space="0" w:color="000000"/>
              <w:bottom w:val="single" w:sz="4" w:space="0" w:color="000000"/>
              <w:right w:val="nil"/>
            </w:tcBorders>
            <w:shd w:val="clear" w:color="auto" w:fill="auto"/>
            <w:vAlign w:val="center"/>
          </w:tcPr>
          <w:p w14:paraId="45B5886B"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r>
      <w:tr w:rsidR="008D28BB" w:rsidRPr="007D4BDC" w14:paraId="68887DCF" w14:textId="77777777" w:rsidTr="000B3355">
        <w:trPr>
          <w:trHeight w:val="267"/>
        </w:trPr>
        <w:tc>
          <w:tcPr>
            <w:tcW w:w="546" w:type="dxa"/>
            <w:tcBorders>
              <w:top w:val="nil"/>
              <w:left w:val="nil"/>
              <w:bottom w:val="single" w:sz="4" w:space="0" w:color="000000"/>
              <w:right w:val="single" w:sz="4" w:space="0" w:color="000000"/>
            </w:tcBorders>
            <w:vAlign w:val="center"/>
          </w:tcPr>
          <w:p w14:paraId="77AED373" w14:textId="77777777" w:rsidR="008D28BB" w:rsidRPr="00D51E20" w:rsidRDefault="008D28BB" w:rsidP="000B3355">
            <w:pPr>
              <w:spacing w:after="0"/>
              <w:jc w:val="center"/>
              <w:rPr>
                <w:rFonts w:ascii="Calibri" w:eastAsia="Calibri" w:hAnsi="Calibri" w:cs="Calibri"/>
                <w:i/>
                <w:color w:val="000000"/>
                <w:lang w:val="it-IT"/>
              </w:rPr>
            </w:pPr>
            <w:r w:rsidRPr="00D51E20">
              <w:rPr>
                <w:rFonts w:ascii="Calibri" w:eastAsia="Calibri" w:hAnsi="Calibri" w:cs="Calibri"/>
                <w:i/>
                <w:color w:val="000000"/>
              </w:rPr>
              <w:fldChar w:fldCharType="begin" w:fldLock="1"/>
            </w:r>
            <w:r w:rsidRPr="00D51E20">
              <w:rPr>
                <w:rFonts w:ascii="Calibri" w:eastAsia="Calibri" w:hAnsi="Calibri" w:cs="Calibri"/>
                <w:i/>
                <w:color w:val="000000"/>
                <w:lang w:val="it-IT"/>
              </w:rPr>
              <w:instrText>ADDIN CSL_CITATION {"citationItems":[{"id":"ITEM-1","itemData":{"author":[{"dropping-particle":"","family":"Epicentro","given":"","non-dropping-particle":"","parse-names":false,"suffix":""}],"id":"ITEM-1","issued":{"date-parts":[["2021"]]},"title":"G-START: poster di comunicazione multilingua ai tempi del COVID-19","type":"article-journal"},"uris":["http://www.mendeley.com/documents/?uuid=bdb7af56-8632-475a-8aab-caf817fa8254"]}],"mendeley":{"formattedCitation":"&lt;sup&gt;25&lt;/sup&gt;","plainTextFormattedCitation":"25","previouslyFormattedCitation":"&lt;sup&gt;25&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lang w:val="it-IT"/>
              </w:rPr>
              <w:t>25</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8F2D86B" w14:textId="77777777" w:rsidR="008D28BB" w:rsidRPr="00D51E20" w:rsidRDefault="008D28BB" w:rsidP="000B3355">
            <w:pPr>
              <w:spacing w:after="0"/>
              <w:rPr>
                <w:rFonts w:ascii="Calibri" w:eastAsia="Calibri" w:hAnsi="Calibri" w:cs="Calibri"/>
                <w:i/>
                <w:color w:val="000000"/>
                <w:lang w:val="it-IT"/>
              </w:rPr>
            </w:pPr>
            <w:r w:rsidRPr="00D51E20">
              <w:rPr>
                <w:rFonts w:ascii="Calibri" w:eastAsia="Calibri" w:hAnsi="Calibri" w:cs="Calibri"/>
                <w:i/>
                <w:color w:val="000000"/>
                <w:lang w:val="it-IT"/>
              </w:rPr>
              <w:t>Epicentro, 2021a</w:t>
            </w:r>
          </w:p>
        </w:tc>
        <w:tc>
          <w:tcPr>
            <w:tcW w:w="509" w:type="dxa"/>
            <w:tcBorders>
              <w:top w:val="single" w:sz="4" w:space="0" w:color="000000"/>
              <w:left w:val="single" w:sz="12" w:space="0" w:color="000000"/>
              <w:bottom w:val="single" w:sz="4" w:space="0" w:color="000000"/>
            </w:tcBorders>
            <w:shd w:val="clear" w:color="auto" w:fill="auto"/>
            <w:vAlign w:val="center"/>
          </w:tcPr>
          <w:p w14:paraId="67653B3D"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319E801B"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28A569B2"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24" w:type="dxa"/>
            <w:tcBorders>
              <w:top w:val="single" w:sz="4" w:space="0" w:color="000000"/>
              <w:bottom w:val="single" w:sz="4" w:space="0" w:color="000000"/>
              <w:right w:val="single" w:sz="4" w:space="0" w:color="000000"/>
            </w:tcBorders>
            <w:shd w:val="clear" w:color="auto" w:fill="auto"/>
            <w:vAlign w:val="center"/>
          </w:tcPr>
          <w:p w14:paraId="6CD49BFE"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3371404F"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47" w:type="dxa"/>
            <w:tcBorders>
              <w:top w:val="single" w:sz="4" w:space="0" w:color="000000"/>
              <w:bottom w:val="single" w:sz="4" w:space="0" w:color="000000"/>
              <w:right w:val="single" w:sz="4" w:space="0" w:color="000000"/>
            </w:tcBorders>
            <w:shd w:val="clear" w:color="auto" w:fill="auto"/>
            <w:vAlign w:val="center"/>
          </w:tcPr>
          <w:p w14:paraId="1ABCD2DF"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562" w:type="dxa"/>
            <w:tcBorders>
              <w:top w:val="single" w:sz="4" w:space="0" w:color="000000"/>
              <w:left w:val="single" w:sz="4" w:space="0" w:color="000000"/>
              <w:bottom w:val="single" w:sz="4" w:space="0" w:color="000000"/>
            </w:tcBorders>
            <w:shd w:val="clear" w:color="auto" w:fill="auto"/>
            <w:vAlign w:val="center"/>
          </w:tcPr>
          <w:p w14:paraId="58F26304"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57" w:type="dxa"/>
            <w:tcBorders>
              <w:top w:val="single" w:sz="4" w:space="0" w:color="000000"/>
              <w:bottom w:val="single" w:sz="4" w:space="0" w:color="000000"/>
              <w:right w:val="single" w:sz="4" w:space="0" w:color="000000"/>
            </w:tcBorders>
            <w:shd w:val="clear" w:color="auto" w:fill="auto"/>
            <w:vAlign w:val="center"/>
          </w:tcPr>
          <w:p w14:paraId="65CD7E85"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177BAE01"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39" w:type="dxa"/>
            <w:tcBorders>
              <w:top w:val="single" w:sz="4" w:space="0" w:color="000000"/>
              <w:bottom w:val="single" w:sz="4" w:space="0" w:color="000000"/>
              <w:right w:val="nil"/>
            </w:tcBorders>
            <w:shd w:val="clear" w:color="auto" w:fill="auto"/>
            <w:vAlign w:val="center"/>
          </w:tcPr>
          <w:p w14:paraId="7ECF0F3C"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r>
      <w:tr w:rsidR="008D28BB" w14:paraId="0F479148" w14:textId="77777777" w:rsidTr="000B3355">
        <w:trPr>
          <w:trHeight w:val="267"/>
        </w:trPr>
        <w:tc>
          <w:tcPr>
            <w:tcW w:w="546" w:type="dxa"/>
            <w:tcBorders>
              <w:top w:val="nil"/>
              <w:left w:val="nil"/>
              <w:bottom w:val="single" w:sz="4" w:space="0" w:color="000000"/>
              <w:right w:val="single" w:sz="4" w:space="0" w:color="000000"/>
            </w:tcBorders>
            <w:vAlign w:val="center"/>
          </w:tcPr>
          <w:p w14:paraId="574F68B5"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lang w:val="it-IT"/>
              </w:rPr>
              <w:instrText>ADDIN CSL_CITATION {"citationItems":[{"id":"ITEM-1","itemData":{"author":[{"dropping-particle":"","family":"Epicentro","given":"","non-dropping-particle":"","parse-names":false,"suffix":""}],"id":"ITEM-1","issued":{"date-parts":[["2021"]]},"title":"G-START: materiali di comunicazione multilingua adattati per il contesto regionale","type":"article-journal"},"uris":["http://www.mendeley.com/documents/?uuid=fc144d2e-665f-4e21-9bba-bed4054da89d"]}],"mendeley":{"formattedCitation":"&lt;sup&gt;26&lt;/sup&gt;","plainTextFormattedCitation":"26","previouslyFormattedCitation":"&lt;sup&gt;26&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26</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C70C0EC" w14:textId="77777777" w:rsidR="008D28BB" w:rsidRPr="00D51E20" w:rsidRDefault="008D28BB" w:rsidP="000B3355">
            <w:pPr>
              <w:spacing w:after="0"/>
              <w:rPr>
                <w:rFonts w:ascii="Calibri" w:eastAsia="Calibri" w:hAnsi="Calibri" w:cs="Calibri"/>
                <w:i/>
                <w:color w:val="000000"/>
              </w:rPr>
            </w:pPr>
            <w:proofErr w:type="spellStart"/>
            <w:r w:rsidRPr="00D51E20">
              <w:rPr>
                <w:rFonts w:ascii="Calibri" w:eastAsia="Calibri" w:hAnsi="Calibri" w:cs="Calibri"/>
                <w:i/>
                <w:color w:val="000000"/>
              </w:rPr>
              <w:t>Epicentro</w:t>
            </w:r>
            <w:proofErr w:type="spellEnd"/>
            <w:r w:rsidRPr="00D51E20">
              <w:rPr>
                <w:rFonts w:ascii="Calibri" w:eastAsia="Calibri" w:hAnsi="Calibri" w:cs="Calibri"/>
                <w:i/>
                <w:color w:val="000000"/>
              </w:rPr>
              <w:t>, 2021b</w:t>
            </w:r>
          </w:p>
        </w:tc>
        <w:tc>
          <w:tcPr>
            <w:tcW w:w="509" w:type="dxa"/>
            <w:tcBorders>
              <w:top w:val="single" w:sz="4" w:space="0" w:color="000000"/>
              <w:left w:val="single" w:sz="12" w:space="0" w:color="000000"/>
              <w:bottom w:val="single" w:sz="4" w:space="0" w:color="000000"/>
            </w:tcBorders>
            <w:shd w:val="clear" w:color="auto" w:fill="auto"/>
            <w:vAlign w:val="center"/>
          </w:tcPr>
          <w:p w14:paraId="2CA5D70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71380C3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0E38F1B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99EF18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1A5547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5EA5189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7EAD32C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5581883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5532E9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432F792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3847881B" w14:textId="77777777" w:rsidTr="000B3355">
        <w:trPr>
          <w:trHeight w:val="267"/>
        </w:trPr>
        <w:tc>
          <w:tcPr>
            <w:tcW w:w="546" w:type="dxa"/>
            <w:tcBorders>
              <w:top w:val="nil"/>
              <w:left w:val="nil"/>
              <w:bottom w:val="single" w:sz="4" w:space="0" w:color="000000"/>
              <w:right w:val="single" w:sz="4" w:space="0" w:color="000000"/>
            </w:tcBorders>
            <w:vAlign w:val="center"/>
          </w:tcPr>
          <w:p w14:paraId="479D2EE7"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{"citationItems":[{"id":"ITEM-1","itemData":{"author":[{"dropping-particle":"","family":"Control","given":"European Centre for Disease Prevention and","non-dropping-particle":"","parse-names":false,"suffix":""}],"id":"ITEM-1","issued":{"date-parts":[["2015"]]},"title":"Expert Opinion on the public health needs of irregular migrants, refugees or asylum seekers across the EU's southern and south-eastern borders","type":"article-journal"},"uris":["http://www.mendeley.com/documents/?uuid=6499bc96-57c0-46de-806c-9aeec7569f20"]}],"mendeley":{"formattedCitation":"&lt;sup&gt;27&lt;/sup&gt;","plainTextFormattedCitation":"27","previouslyFormattedCitation":"&lt;sup&gt;27&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27</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41D3326"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ECDC – Scientific advice, 2015</w:t>
            </w:r>
          </w:p>
        </w:tc>
        <w:tc>
          <w:tcPr>
            <w:tcW w:w="509" w:type="dxa"/>
            <w:tcBorders>
              <w:top w:val="single" w:sz="4" w:space="0" w:color="000000"/>
              <w:left w:val="single" w:sz="12" w:space="0" w:color="000000"/>
              <w:bottom w:val="single" w:sz="4" w:space="0" w:color="000000"/>
            </w:tcBorders>
            <w:shd w:val="clear" w:color="auto" w:fill="auto"/>
            <w:vAlign w:val="center"/>
          </w:tcPr>
          <w:p w14:paraId="1F4033D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7D117C7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2E0FEB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2C991E9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0936FB0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1D48ADD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0841950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56FE0BE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6B1C3E4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58E89C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3F8F7218" w14:textId="77777777" w:rsidTr="000B3355">
        <w:trPr>
          <w:trHeight w:val="267"/>
        </w:trPr>
        <w:tc>
          <w:tcPr>
            <w:tcW w:w="546" w:type="dxa"/>
            <w:tcBorders>
              <w:top w:val="nil"/>
              <w:left w:val="nil"/>
              <w:bottom w:val="single" w:sz="4" w:space="0" w:color="000000"/>
              <w:right w:val="single" w:sz="4" w:space="0" w:color="000000"/>
            </w:tcBorders>
            <w:vAlign w:val="center"/>
          </w:tcPr>
          <w:p w14:paraId="2B3D493A"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{"citationItems":[{"id":"ITEM-1","itemData":{"author":[{"dropping-particle":"","family":"Control","given":"European Centre for Disease Prevention and","non-dropping-particle":"","parse-names":false,"suffix":""}],"id":"ITEM-1","issued":{"date-parts":[["2018"]]},"title":"Public health guidance on screening and vaccination for infectious diseases in newly arrived migrants within the EU/EEA","type":"report"},"uris":["http://www.mendeley.com/documents/?uuid=55109813-1bf2-4a75-a988-582fc15e1322"]}],"mendeley":{"formattedCitation":"&lt;sup&gt;5&lt;/sup&gt;","plainTextFormattedCitation":"5","previouslyFormattedCitation":"&lt;sup&gt;5&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5</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92F129B"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ECDC Scientific advice, 2018</w:t>
            </w:r>
          </w:p>
        </w:tc>
        <w:tc>
          <w:tcPr>
            <w:tcW w:w="509" w:type="dxa"/>
            <w:tcBorders>
              <w:top w:val="single" w:sz="4" w:space="0" w:color="000000"/>
              <w:left w:val="single" w:sz="12" w:space="0" w:color="000000"/>
              <w:bottom w:val="single" w:sz="4" w:space="0" w:color="000000"/>
            </w:tcBorders>
            <w:shd w:val="clear" w:color="auto" w:fill="auto"/>
            <w:vAlign w:val="center"/>
          </w:tcPr>
          <w:p w14:paraId="4DE9AAA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1844F3E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84CDA7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2765543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55C345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6D50EB8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5469B3D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76248EA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73807C5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232E3AB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4F2C455C" w14:textId="77777777" w:rsidTr="000B3355">
        <w:trPr>
          <w:trHeight w:val="267"/>
        </w:trPr>
        <w:tc>
          <w:tcPr>
            <w:tcW w:w="546" w:type="dxa"/>
            <w:tcBorders>
              <w:top w:val="nil"/>
              <w:left w:val="nil"/>
              <w:bottom w:val="single" w:sz="4" w:space="0" w:color="000000"/>
              <w:right w:val="single" w:sz="4" w:space="0" w:color="000000"/>
            </w:tcBorders>
            <w:vAlign w:val="center"/>
          </w:tcPr>
          <w:p w14:paraId="7D18E6F8"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{"citationItems":[{"id":"ITEM-1","itemData":{"author":[{"dropping-particle":"","family":"European Centre for Disease Prevention and Control","given":"","non-dropping-particle":"","parse-names":false,"suffix":""}],"id":"ITEM-1","issued":{"date-parts":[["2021"]]},"title":"Reducing COVID-19 transmission and strengthening vaccine uptake among migrant populations in the EU/EEA","type":"report"},"uris":["http://www.mendeley.com/documents/?uuid=d2c03096-187d-4201-8743-383f26a17c5c"]}],"mendeley":{"formattedCitation":"&lt;sup&gt;28&lt;/sup&gt;","plainTextFormattedCitation":"28","previouslyFormattedCitation":"&lt;sup&gt;28&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28</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3F61B9A5"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ECDC, 2021a</w:t>
            </w:r>
          </w:p>
        </w:tc>
        <w:tc>
          <w:tcPr>
            <w:tcW w:w="509" w:type="dxa"/>
            <w:tcBorders>
              <w:top w:val="single" w:sz="4" w:space="0" w:color="000000"/>
              <w:left w:val="single" w:sz="12" w:space="0" w:color="000000"/>
              <w:bottom w:val="single" w:sz="4" w:space="0" w:color="000000"/>
            </w:tcBorders>
            <w:shd w:val="clear" w:color="auto" w:fill="auto"/>
            <w:vAlign w:val="center"/>
          </w:tcPr>
          <w:p w14:paraId="231BCB0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7C48AE7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0B5942A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7A5DCDA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BA7CEE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6FB9F76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4C54B86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69342C9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119FE53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E293D9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66118CB8" w14:textId="77777777" w:rsidTr="000B3355">
        <w:trPr>
          <w:trHeight w:val="267"/>
        </w:trPr>
        <w:tc>
          <w:tcPr>
            <w:tcW w:w="546" w:type="dxa"/>
            <w:tcBorders>
              <w:top w:val="nil"/>
              <w:left w:val="nil"/>
              <w:bottom w:val="single" w:sz="4" w:space="0" w:color="000000"/>
              <w:right w:val="single" w:sz="4" w:space="0" w:color="000000"/>
            </w:tcBorders>
            <w:vAlign w:val="center"/>
          </w:tcPr>
          <w:p w14:paraId="706DB828" w14:textId="77777777" w:rsidR="008D28BB" w:rsidRPr="00D51E20" w:rsidRDefault="008D28BB" w:rsidP="000B3355">
            <w:pPr>
              <w:spacing w:after="12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{"citationItems":[{"id":"ITEM-1","itemData":{"author":[{"dropping-particle":"","family":"European Centre for Disease Prevention and Control","given":"","non-dropping-particle":"","parse-names":false,"suffix":""}],"id":"ITEM-1","issued":{"date-parts":[["2021"]]},"title":"Overview of the implementation of COVID-19 vaccination strategies and deployment plans in the EU/EEA. technical report","type":"report"},"uris":["http://www.mendeley.com/documents/?uuid=a2b812ac-c47c-4977-bb60-c62e883f053f"]}],"mendeley":{"formattedCitation":"&lt;sup&gt;29&lt;/sup&gt;","plainTextFormattedCitation":"29","previouslyFormattedCitation":"&lt;sup&gt;29&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29</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3C3EB94A"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ECDC, 2021b</w:t>
            </w:r>
          </w:p>
        </w:tc>
        <w:tc>
          <w:tcPr>
            <w:tcW w:w="509" w:type="dxa"/>
            <w:tcBorders>
              <w:top w:val="single" w:sz="4" w:space="0" w:color="000000"/>
              <w:left w:val="single" w:sz="12" w:space="0" w:color="000000"/>
              <w:bottom w:val="single" w:sz="4" w:space="0" w:color="000000"/>
            </w:tcBorders>
            <w:shd w:val="clear" w:color="auto" w:fill="auto"/>
            <w:vAlign w:val="center"/>
          </w:tcPr>
          <w:p w14:paraId="4D570EF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1FE5233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4" w:space="0" w:color="000000"/>
            </w:tcBorders>
            <w:shd w:val="clear" w:color="auto" w:fill="auto"/>
            <w:vAlign w:val="center"/>
          </w:tcPr>
          <w:p w14:paraId="3484015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4735429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147C98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1A0C49B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6474D85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719D03F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FADB33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5C1C78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2967B4A2" w14:textId="77777777" w:rsidTr="000B3355">
        <w:trPr>
          <w:trHeight w:val="267"/>
        </w:trPr>
        <w:tc>
          <w:tcPr>
            <w:tcW w:w="546" w:type="dxa"/>
            <w:tcBorders>
              <w:top w:val="nil"/>
              <w:left w:val="nil"/>
              <w:bottom w:val="single" w:sz="4" w:space="0" w:color="000000"/>
              <w:right w:val="single" w:sz="4" w:space="0" w:color="000000"/>
            </w:tcBorders>
            <w:vAlign w:val="center"/>
          </w:tcPr>
          <w:p w14:paraId="4A504B88"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{"citationItems":[{"id":"ITEM-1","itemData":{"DOI":"10.19191/EP17.3-4S1.P050.065","author":[{"dropping-particle":"","family":"Fabiani","given":"M,","non-dropping-particle":"","parse-names":false,"suffix":""},{"dropping-particle":"","family":"Napoli A","given":"","non-dropping-particle":"Di","parse-names":false,"suffix":""},{"dropping-particle":"","family":"Riccardo F","given":"","non-dropping-particle":"","parse-names":false,"suffix":""},{"dropping-particle":"","family":"Gargiulo L","given":"","non-dropping-particle":"","parse-names":false,"suffix":""},{"dropping-particle":"","family":"Declich S","given":"","non-dropping-particle":"","parse-names":false,"suffix":""},{"dropping-particle":"","family":"Petrelli A.","given":"","non-dropping-particle":"","parse-names":false,"suffix":""}],"id":"ITEM-1","issued":{"date-parts":[["2017"]]},"title":"Differenze nella copertura vaccinale antinfluenzale tra sottogruppi di immigrati adulti residenti in Italia a rischio di complicanze (2012-2013). Epidemiologia&amp;Prevenzione","type":"article-journal"},"uris":["http://www.mendeley.com/documents/?uuid=dca985f7-8757-4bca-8712-b979241c1068"]}],"mendeley":{"formattedCitation":"&lt;sup&gt;30&lt;/sup&gt;","plainTextFormattedCitation":"30","previouslyFormattedCitation":"&lt;sup&gt;30&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30</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56E6E56" w14:textId="77777777" w:rsidR="008D28BB" w:rsidRPr="00D51E20" w:rsidRDefault="008D28BB" w:rsidP="000B3355">
            <w:pPr>
              <w:spacing w:after="0"/>
              <w:rPr>
                <w:rFonts w:ascii="Calibri" w:eastAsia="Calibri" w:hAnsi="Calibri" w:cs="Calibri"/>
                <w:i/>
                <w:color w:val="000000"/>
              </w:rPr>
            </w:pPr>
            <w:proofErr w:type="spellStart"/>
            <w:r w:rsidRPr="00D51E20">
              <w:rPr>
                <w:rFonts w:ascii="Calibri" w:eastAsia="Calibri" w:hAnsi="Calibri" w:cs="Calibri"/>
                <w:i/>
                <w:color w:val="000000"/>
              </w:rPr>
              <w:t>Fabiani</w:t>
            </w:r>
            <w:proofErr w:type="spellEnd"/>
            <w:r w:rsidRPr="00D51E20">
              <w:rPr>
                <w:rFonts w:ascii="Calibri" w:eastAsia="Calibri" w:hAnsi="Calibri" w:cs="Calibri"/>
                <w:i/>
                <w:color w:val="000000"/>
              </w:rPr>
              <w:t>, 2017</w:t>
            </w:r>
          </w:p>
        </w:tc>
        <w:tc>
          <w:tcPr>
            <w:tcW w:w="509" w:type="dxa"/>
            <w:tcBorders>
              <w:top w:val="single" w:sz="4" w:space="0" w:color="000000"/>
              <w:left w:val="single" w:sz="12" w:space="0" w:color="000000"/>
              <w:bottom w:val="single" w:sz="4" w:space="0" w:color="000000"/>
            </w:tcBorders>
            <w:shd w:val="clear" w:color="auto" w:fill="auto"/>
            <w:vAlign w:val="center"/>
          </w:tcPr>
          <w:p w14:paraId="788B891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C1846B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6A5E06B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435713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144AAF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4260703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08BEED8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1FABA57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16F7BA5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8B596D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1AF2C9A4" w14:textId="77777777" w:rsidTr="000B3355">
        <w:trPr>
          <w:trHeight w:val="267"/>
        </w:trPr>
        <w:tc>
          <w:tcPr>
            <w:tcW w:w="546" w:type="dxa"/>
            <w:tcBorders>
              <w:top w:val="nil"/>
              <w:left w:val="nil"/>
              <w:bottom w:val="single" w:sz="4" w:space="0" w:color="000000"/>
              <w:right w:val="single" w:sz="4" w:space="0" w:color="000000"/>
            </w:tcBorders>
            <w:vAlign w:val="center"/>
          </w:tcPr>
          <w:p w14:paraId="0A896320" w14:textId="77777777" w:rsidR="008D28BB" w:rsidRPr="00D51E20" w:rsidRDefault="008D28BB" w:rsidP="000B3355">
            <w:pPr>
              <w:spacing w:after="0"/>
              <w:jc w:val="center"/>
              <w:rPr>
                <w:rFonts w:ascii="Calibri" w:eastAsia="Calibri" w:hAnsi="Calibri" w:cs="Calibri"/>
                <w:vertAlign w:val="superscript"/>
              </w:rPr>
            </w:pPr>
            <w:r w:rsidRPr="00D51E20">
              <w:rPr>
                <w:rFonts w:ascii="Calibri" w:eastAsia="Calibri" w:hAnsi="Calibri" w:cs="Calibri"/>
                <w:vertAlign w:val="superscript"/>
              </w:rPr>
              <w:fldChar w:fldCharType="begin" w:fldLock="1"/>
            </w:r>
            <w:r w:rsidRPr="00D51E20">
              <w:rPr>
                <w:rFonts w:ascii="Calibri" w:eastAsia="Calibri" w:hAnsi="Calibri" w:cs="Calibri"/>
                <w:vertAlign w:val="superscript"/>
              </w:rPr>
              <w:instrText>ADDIN CSL_CITATION {"citationItems":[{"id":"ITEM-1","itemData":{"author":[{"dropping-particle":"","family":"García Galán Rafael.","given":"","non-dropping-particle":"","parse-names":false,"suffix":""}],"id":"ITEM-1","issued":{"date-parts":[["2007"]]},"title":"Manual de atención sanitaria a inmigrantes: guía para profesionales de la salud. - Sevilla: Consejería de Salud","type":"article-journal"},"uris":["http://www.mendeley.com/documents/?uuid=de1dae4c-811c-4945-8154-e28883c483d0"]}],"mendeley":{"formattedCitation":"&lt;sup&gt;31&lt;/sup&gt;","plainTextFormattedCitation":"31","previouslyFormattedCitation":"&lt;sup&gt;31&lt;/sup&gt;"},"properties":{"noteIndex":0},"schema":"https://github.com/citation-style-language/schema/raw/master/csl-citation.json"}</w:instrText>
            </w:r>
            <w:r w:rsidRPr="00D51E20">
              <w:rPr>
                <w:rFonts w:ascii="Calibri" w:eastAsia="Calibri" w:hAnsi="Calibri" w:cs="Calibri"/>
                <w:vertAlign w:val="superscript"/>
              </w:rPr>
              <w:fldChar w:fldCharType="separate"/>
            </w:r>
            <w:r w:rsidRPr="00D51E20">
              <w:rPr>
                <w:rFonts w:ascii="Calibri" w:eastAsia="Calibri" w:hAnsi="Calibri" w:cs="Calibri"/>
                <w:noProof/>
                <w:vertAlign w:val="superscript"/>
              </w:rPr>
              <w:t>31</w:t>
            </w:r>
            <w:r w:rsidRPr="00D51E20">
              <w:rPr>
                <w:rFonts w:ascii="Calibri" w:eastAsia="Calibri" w:hAnsi="Calibri" w:cs="Calibri"/>
                <w:vertAlign w:val="superscript"/>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53AC85E9" w14:textId="77777777" w:rsidR="008D28BB" w:rsidRPr="00D51E20" w:rsidRDefault="008D28BB" w:rsidP="000B3355">
            <w:pPr>
              <w:spacing w:after="0"/>
              <w:rPr>
                <w:rFonts w:ascii="Calibri" w:eastAsia="Calibri" w:hAnsi="Calibri" w:cs="Calibri"/>
                <w:i/>
              </w:rPr>
            </w:pPr>
            <w:r w:rsidRPr="00D51E20">
              <w:rPr>
                <w:rFonts w:ascii="Calibri" w:eastAsia="Calibri" w:hAnsi="Calibri" w:cs="Calibri"/>
                <w:i/>
              </w:rPr>
              <w:t>Garcia Galan, 2007</w:t>
            </w:r>
          </w:p>
        </w:tc>
        <w:tc>
          <w:tcPr>
            <w:tcW w:w="509" w:type="dxa"/>
            <w:tcBorders>
              <w:top w:val="single" w:sz="4" w:space="0" w:color="000000"/>
              <w:left w:val="single" w:sz="12" w:space="0" w:color="000000"/>
              <w:bottom w:val="single" w:sz="4" w:space="0" w:color="000000"/>
            </w:tcBorders>
            <w:shd w:val="clear" w:color="auto" w:fill="auto"/>
            <w:vAlign w:val="center"/>
          </w:tcPr>
          <w:p w14:paraId="1C9A19D5"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595" w:type="dxa"/>
            <w:tcBorders>
              <w:top w:val="single" w:sz="4" w:space="0" w:color="000000"/>
              <w:bottom w:val="single" w:sz="4" w:space="0" w:color="000000"/>
              <w:right w:val="single" w:sz="4" w:space="0" w:color="000000"/>
            </w:tcBorders>
            <w:shd w:val="clear" w:color="auto" w:fill="auto"/>
            <w:vAlign w:val="center"/>
          </w:tcPr>
          <w:p w14:paraId="5EDDC037" w14:textId="77777777" w:rsidR="008D28BB" w:rsidRDefault="008D28BB" w:rsidP="000B3355">
            <w:pPr>
              <w:spacing w:after="0"/>
              <w:rPr>
                <w:rFonts w:ascii="Calibri" w:eastAsia="Calibri" w:hAnsi="Calibri" w:cs="Calibri"/>
              </w:rPr>
            </w:pPr>
            <w:r>
              <w:rPr>
                <w:rFonts w:ascii="Calibri" w:eastAsia="Calibri" w:hAnsi="Calibri" w:cs="Calibri"/>
              </w:rPr>
              <w:t> </w:t>
            </w:r>
          </w:p>
        </w:tc>
        <w:tc>
          <w:tcPr>
            <w:tcW w:w="535" w:type="dxa"/>
            <w:tcBorders>
              <w:top w:val="single" w:sz="4" w:space="0" w:color="000000"/>
              <w:left w:val="single" w:sz="4" w:space="0" w:color="000000"/>
              <w:bottom w:val="single" w:sz="4" w:space="0" w:color="000000"/>
            </w:tcBorders>
            <w:shd w:val="clear" w:color="auto" w:fill="auto"/>
            <w:vAlign w:val="center"/>
          </w:tcPr>
          <w:p w14:paraId="7C23F4E3"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24" w:type="dxa"/>
            <w:tcBorders>
              <w:top w:val="single" w:sz="4" w:space="0" w:color="000000"/>
              <w:bottom w:val="single" w:sz="4" w:space="0" w:color="000000"/>
              <w:right w:val="single" w:sz="4" w:space="0" w:color="000000"/>
            </w:tcBorders>
            <w:shd w:val="clear" w:color="auto" w:fill="auto"/>
            <w:vAlign w:val="center"/>
          </w:tcPr>
          <w:p w14:paraId="0A76B2C9" w14:textId="77777777" w:rsidR="008D28BB" w:rsidRDefault="008D28BB" w:rsidP="000B3355">
            <w:pPr>
              <w:spacing w:after="0"/>
              <w:rPr>
                <w:rFonts w:ascii="Calibri" w:eastAsia="Calibri" w:hAnsi="Calibri" w:cs="Calibri"/>
              </w:rPr>
            </w:pPr>
            <w:r>
              <w:rPr>
                <w:rFonts w:ascii="Calibri" w:eastAsia="Calibri" w:hAnsi="Calibri" w:cs="Calibri"/>
              </w:rPr>
              <w:t> </w:t>
            </w:r>
          </w:p>
        </w:tc>
        <w:tc>
          <w:tcPr>
            <w:tcW w:w="472" w:type="dxa"/>
            <w:tcBorders>
              <w:top w:val="single" w:sz="4" w:space="0" w:color="000000"/>
              <w:left w:val="single" w:sz="4" w:space="0" w:color="000000"/>
              <w:bottom w:val="single" w:sz="4" w:space="0" w:color="000000"/>
            </w:tcBorders>
            <w:shd w:val="clear" w:color="auto" w:fill="auto"/>
            <w:vAlign w:val="center"/>
          </w:tcPr>
          <w:p w14:paraId="06B5887D"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547" w:type="dxa"/>
            <w:tcBorders>
              <w:top w:val="single" w:sz="4" w:space="0" w:color="000000"/>
              <w:bottom w:val="single" w:sz="4" w:space="0" w:color="000000"/>
              <w:right w:val="single" w:sz="4" w:space="0" w:color="000000"/>
            </w:tcBorders>
            <w:shd w:val="clear" w:color="auto" w:fill="auto"/>
            <w:vAlign w:val="center"/>
          </w:tcPr>
          <w:p w14:paraId="7D41D11D" w14:textId="77777777" w:rsidR="008D28BB" w:rsidRDefault="008D28BB" w:rsidP="000B3355">
            <w:pPr>
              <w:spacing w:after="0"/>
              <w:rPr>
                <w:rFonts w:ascii="Calibri" w:eastAsia="Calibri" w:hAnsi="Calibri" w:cs="Calibri"/>
              </w:rPr>
            </w:pPr>
            <w:r>
              <w:rPr>
                <w:rFonts w:ascii="Calibri" w:eastAsia="Calibri" w:hAnsi="Calibri" w:cs="Calibri"/>
              </w:rPr>
              <w:t> </w:t>
            </w:r>
          </w:p>
        </w:tc>
        <w:tc>
          <w:tcPr>
            <w:tcW w:w="562" w:type="dxa"/>
            <w:tcBorders>
              <w:top w:val="single" w:sz="4" w:space="0" w:color="000000"/>
              <w:left w:val="single" w:sz="4" w:space="0" w:color="000000"/>
              <w:bottom w:val="single" w:sz="4" w:space="0" w:color="000000"/>
            </w:tcBorders>
            <w:shd w:val="clear" w:color="auto" w:fill="auto"/>
            <w:vAlign w:val="center"/>
          </w:tcPr>
          <w:p w14:paraId="61003E18" w14:textId="77777777" w:rsidR="008D28BB" w:rsidRDefault="008D28BB" w:rsidP="000B3355">
            <w:pPr>
              <w:spacing w:after="0"/>
              <w:jc w:val="right"/>
              <w:rPr>
                <w:rFonts w:ascii="Calibri" w:eastAsia="Calibri" w:hAnsi="Calibri" w:cs="Calibri"/>
              </w:rPr>
            </w:pPr>
            <w:r>
              <w:rPr>
                <w:rFonts w:ascii="Calibri" w:eastAsia="Calibri" w:hAnsi="Calibri" w:cs="Calibri"/>
              </w:rPr>
              <w:t>x</w:t>
            </w:r>
          </w:p>
        </w:tc>
        <w:tc>
          <w:tcPr>
            <w:tcW w:w="657" w:type="dxa"/>
            <w:tcBorders>
              <w:top w:val="single" w:sz="4" w:space="0" w:color="000000"/>
              <w:bottom w:val="single" w:sz="4" w:space="0" w:color="000000"/>
              <w:right w:val="single" w:sz="4" w:space="0" w:color="000000"/>
            </w:tcBorders>
            <w:shd w:val="clear" w:color="auto" w:fill="auto"/>
            <w:vAlign w:val="center"/>
          </w:tcPr>
          <w:p w14:paraId="615B0299" w14:textId="77777777" w:rsidR="008D28BB" w:rsidRDefault="008D28BB" w:rsidP="000B3355">
            <w:pPr>
              <w:spacing w:after="0"/>
              <w:rPr>
                <w:rFonts w:ascii="Calibri" w:eastAsia="Calibri" w:hAnsi="Calibri" w:cs="Calibri"/>
              </w:rPr>
            </w:pPr>
            <w:r>
              <w:rPr>
                <w:rFonts w:ascii="Calibri" w:eastAsia="Calibri" w:hAnsi="Calibri" w:cs="Calibri"/>
              </w:rPr>
              <w:t>o</w:t>
            </w:r>
          </w:p>
        </w:tc>
        <w:tc>
          <w:tcPr>
            <w:tcW w:w="472" w:type="dxa"/>
            <w:tcBorders>
              <w:top w:val="single" w:sz="4" w:space="0" w:color="000000"/>
              <w:left w:val="single" w:sz="4" w:space="0" w:color="000000"/>
              <w:bottom w:val="single" w:sz="4" w:space="0" w:color="000000"/>
            </w:tcBorders>
            <w:shd w:val="clear" w:color="auto" w:fill="auto"/>
            <w:vAlign w:val="center"/>
          </w:tcPr>
          <w:p w14:paraId="7B7F864A"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39" w:type="dxa"/>
            <w:tcBorders>
              <w:top w:val="single" w:sz="4" w:space="0" w:color="000000"/>
              <w:bottom w:val="single" w:sz="4" w:space="0" w:color="000000"/>
              <w:right w:val="nil"/>
            </w:tcBorders>
            <w:shd w:val="clear" w:color="auto" w:fill="auto"/>
            <w:vAlign w:val="center"/>
          </w:tcPr>
          <w:p w14:paraId="664FB57F" w14:textId="77777777" w:rsidR="008D28BB" w:rsidRDefault="008D28BB" w:rsidP="000B3355">
            <w:pPr>
              <w:spacing w:after="0"/>
              <w:rPr>
                <w:rFonts w:ascii="Calibri" w:eastAsia="Calibri" w:hAnsi="Calibri" w:cs="Calibri"/>
              </w:rPr>
            </w:pPr>
            <w:r>
              <w:rPr>
                <w:rFonts w:ascii="Calibri" w:eastAsia="Calibri" w:hAnsi="Calibri" w:cs="Calibri"/>
              </w:rPr>
              <w:t> </w:t>
            </w:r>
          </w:p>
        </w:tc>
      </w:tr>
      <w:tr w:rsidR="008D28BB" w14:paraId="395E9187" w14:textId="77777777" w:rsidTr="000B3355">
        <w:trPr>
          <w:trHeight w:val="267"/>
        </w:trPr>
        <w:tc>
          <w:tcPr>
            <w:tcW w:w="546" w:type="dxa"/>
            <w:tcBorders>
              <w:top w:val="nil"/>
              <w:left w:val="nil"/>
              <w:bottom w:val="single" w:sz="4" w:space="0" w:color="000000"/>
              <w:right w:val="single" w:sz="4" w:space="0" w:color="000000"/>
            </w:tcBorders>
            <w:vAlign w:val="center"/>
          </w:tcPr>
          <w:p w14:paraId="6F2E5FC2"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{"citationItems":[{"id":"ITEM-1","itemData":{"author":[{"dropping-particle":"","family":"Geraci S","given":"","non-dropping-particle":"","parse-names":false,"suffix":""},{"dropping-particle":"","family":"Verona A.","given":"","non-dropping-particle":"","parse-names":false,"suffix":""}],"id":"ITEM-1","issued":{"date-parts":[["2021"]]},"title":"Gli Invisibili e il Diritto al vaccino. SaluteInternazionale.info","type":"article-journal"},"uris":["http://www.mendeley.com/documents/?uuid=690f5007-ef03-41f3-9c78-93ec9912fe31"]}],"mendeley":{"formattedCitation":"&lt;sup&gt;32&lt;/sup&gt;","plainTextFormattedCitation":"32","previouslyFormattedCitation":"&lt;sup&gt;32&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32</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11C84BE"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Geraci, 2021</w:t>
            </w:r>
          </w:p>
        </w:tc>
        <w:tc>
          <w:tcPr>
            <w:tcW w:w="509" w:type="dxa"/>
            <w:tcBorders>
              <w:top w:val="single" w:sz="4" w:space="0" w:color="000000"/>
              <w:left w:val="single" w:sz="12" w:space="0" w:color="000000"/>
              <w:bottom w:val="single" w:sz="4" w:space="0" w:color="000000"/>
            </w:tcBorders>
            <w:shd w:val="clear" w:color="auto" w:fill="auto"/>
            <w:vAlign w:val="center"/>
          </w:tcPr>
          <w:p w14:paraId="1E1D633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872ED1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1BFDB41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6EF1B28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95C159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6CB5A64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0FBA1E1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7220EF5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748B6D3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23E8E9D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0D3B0838" w14:textId="77777777" w:rsidTr="000B3355">
        <w:trPr>
          <w:trHeight w:val="267"/>
        </w:trPr>
        <w:tc>
          <w:tcPr>
            <w:tcW w:w="546" w:type="dxa"/>
            <w:tcBorders>
              <w:top w:val="nil"/>
              <w:left w:val="nil"/>
              <w:bottom w:val="single" w:sz="4" w:space="0" w:color="000000"/>
              <w:right w:val="single" w:sz="4" w:space="0" w:color="000000"/>
            </w:tcBorders>
            <w:vAlign w:val="center"/>
          </w:tcPr>
          <w:p w14:paraId="7C01AE06"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10.1089/heq.2020.0125","ISSN":"2473-1242","author":[{"dropping-particle":"","family":"Ghebrendrias","given":"Selemawit","non-dropping-particle":"","parse-names":false,"suffix":""},{"dropping-particle":"","family":"Pfeil","given":"Sarah","non-dropping-particle":"","parse-names":false,"suffix":""},{"dropping-particle":"","family":"Crouthamel","given":"Bonnie","non-dropping-particle":"","parse-names":false,"suffix":""},{"dropping-particle":"","family":"Chalmiers","given":"Morgen","non-dropping-particle":"","parse-names":false,"suffix":""},{"dropping-particle":"","family":"Kully","given":"Gennifer","non-dropping-particle":"","parse-names":false,"suffix":""},{"dropping-particle":"","family":"Mody","given":"Sheila","non-dropping-particle":"","parse-names":false,"suffix":""}],"container-title":"Health Equity","id":"ITEM-1","issue":"1","issued":{"date-parts":[["2021","6","1"]]},"page":"382-389","title":"An Examination of Misconceptions and Their Impact on Cervical Cancer Prevention Practices among Sub-Saharan African and Middle Eastern Refugees","type":"article-journal","volume":"5"},"uris":["http://www.mendeley.com/documents/?uuid=4d7710bc-ba45-4548-9fe0-cb44fa010f46"]}],"mendeley":{"formattedCitation":"&lt;sup&gt;33&lt;/sup&gt;","plainTextFormattedCitation":"33","previouslyFormattedCitation":"&lt;sup&gt;33&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33</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77E0F0B" w14:textId="77777777" w:rsidR="008D28BB" w:rsidRPr="00D51E20" w:rsidRDefault="008D28BB" w:rsidP="000B3355">
            <w:pPr>
              <w:spacing w:after="0"/>
              <w:rPr>
                <w:rFonts w:ascii="Calibri" w:eastAsia="Calibri" w:hAnsi="Calibri" w:cs="Calibri"/>
                <w:i/>
                <w:color w:val="000000"/>
              </w:rPr>
            </w:pPr>
            <w:proofErr w:type="spellStart"/>
            <w:r w:rsidRPr="00D51E20">
              <w:rPr>
                <w:rFonts w:ascii="Calibri" w:eastAsia="Calibri" w:hAnsi="Calibri" w:cs="Calibri"/>
                <w:i/>
                <w:color w:val="000000"/>
              </w:rPr>
              <w:t>Ghebrendrias</w:t>
            </w:r>
            <w:proofErr w:type="spellEnd"/>
            <w:r w:rsidRPr="00D51E20">
              <w:rPr>
                <w:rFonts w:ascii="Calibri" w:eastAsia="Calibri" w:hAnsi="Calibri" w:cs="Calibri"/>
                <w:i/>
                <w:color w:val="000000"/>
              </w:rPr>
              <w:t>, 2021</w:t>
            </w:r>
          </w:p>
        </w:tc>
        <w:tc>
          <w:tcPr>
            <w:tcW w:w="509" w:type="dxa"/>
            <w:tcBorders>
              <w:top w:val="single" w:sz="4" w:space="0" w:color="000000"/>
              <w:left w:val="single" w:sz="12" w:space="0" w:color="000000"/>
              <w:bottom w:val="single" w:sz="4" w:space="0" w:color="000000"/>
            </w:tcBorders>
            <w:shd w:val="clear" w:color="auto" w:fill="auto"/>
            <w:vAlign w:val="center"/>
          </w:tcPr>
          <w:p w14:paraId="6A14045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CF86F2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01CCFF5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06B793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61685C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49162C3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72ABBB9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41482F6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94F480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418B049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72840835" w14:textId="77777777" w:rsidTr="000B3355">
        <w:trPr>
          <w:trHeight w:val="267"/>
        </w:trPr>
        <w:tc>
          <w:tcPr>
            <w:tcW w:w="546" w:type="dxa"/>
            <w:tcBorders>
              <w:top w:val="nil"/>
              <w:left w:val="nil"/>
              <w:bottom w:val="single" w:sz="4" w:space="0" w:color="000000"/>
              <w:right w:val="single" w:sz="4" w:space="0" w:color="000000"/>
            </w:tcBorders>
            <w:vAlign w:val="center"/>
          </w:tcPr>
          <w:p w14:paraId="2CB70225"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10.3390/ijerph14050459","ISSN":"1660-4601","author":[{"dropping-particle":"","family":"Giambi","given":"Cristina","non-dropping-particle":"","parse-names":false,"suffix":""},{"dropping-particle":"","family":"Manso","given":"Martina","non-dropping-particle":"Del","parse-names":false,"suffix":""},{"dropping-particle":"","family":"Dente","given":"Maria","non-dropping-particle":"","parse-names":false,"suffix":""},{"dropping-particle":"","family":"Napoli","given":"Christian","non-dropping-particle":"","parse-names":false,"suffix":""},{"dropping-particle":"","family":"Montaño-Remacha","given":"Carmen","non-dropping-particle":"","parse-names":false,"suffix":""},{"dropping-particle":"","family":"Riccardo","given":"Flavia","non-dropping-particle":"","parse-names":false,"suffix":""},{"dropping-particle":"","family":"Declich","given":"Silvia","non-dropping-particle":"","parse-names":false,"suffix":""}],"container-title":"International Journal of Environmental Research and Public Health","id":"ITEM-1","issue":"5","issued":{"date-parts":[["2017","4","25"]]},"page":"459","title":"Immunization Strategies Targeting Newly Arrived Migrants in Non-EU Countries of the Mediterranean Basin and Black Sea","type":"article-journal","volume":"14"},"uris":["http://www.mendeley.com/documents/?uuid=f589705a-18b0-4c85-b863-0dad90f24cd5"]}],"mendeley":{"formattedCitation":"&lt;sup&gt;34&lt;/sup&gt;","plainTextFormattedCitation":"34","previouslyFormattedCitation":"&lt;sup&gt;34&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34</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3DA08F5"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Giambi, 2017</w:t>
            </w:r>
          </w:p>
        </w:tc>
        <w:tc>
          <w:tcPr>
            <w:tcW w:w="509" w:type="dxa"/>
            <w:tcBorders>
              <w:top w:val="single" w:sz="4" w:space="0" w:color="000000"/>
              <w:left w:val="single" w:sz="12" w:space="0" w:color="000000"/>
              <w:bottom w:val="single" w:sz="4" w:space="0" w:color="000000"/>
            </w:tcBorders>
            <w:shd w:val="clear" w:color="auto" w:fill="auto"/>
            <w:vAlign w:val="center"/>
          </w:tcPr>
          <w:p w14:paraId="5E96455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45F000F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362BB9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1DC31C8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6129E88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1FCAE84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463CAB3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2081B0F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2A6E552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65C5DB8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03993EAB" w14:textId="77777777" w:rsidTr="000B3355">
        <w:trPr>
          <w:trHeight w:val="267"/>
        </w:trPr>
        <w:tc>
          <w:tcPr>
            <w:tcW w:w="546" w:type="dxa"/>
            <w:tcBorders>
              <w:top w:val="nil"/>
              <w:left w:val="nil"/>
              <w:bottom w:val="single" w:sz="4" w:space="0" w:color="000000"/>
              <w:right w:val="single" w:sz="4" w:space="0" w:color="000000"/>
            </w:tcBorders>
            <w:vAlign w:val="center"/>
          </w:tcPr>
          <w:p w14:paraId="4E3BD99B"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10.1016/j.vaccine.2018.01.060","ISSN":"0264410X","author":[{"dropping-particle":"","family":"Giambi","given":"Cristina","non-dropping-particle":"","parse-names":false,"suffix":""},{"dropping-particle":"","family":"Manso","given":"Martina","non-dropping-particle":"Del","parse-names":false,"suffix":""},{"dropping-particle":"","family":"Dalla Zuanna","given":"Teresa","non-dropping-particle":"","parse-names":false,"suffix":""},{"dropping-particle":"","family":"Riccardo","given":"Flavia","non-dropping-particle":"","parse-names":false,"suffix":""},{"dropping-particle":"","family":"Bella","given":"Antonino","non-dropping-particle":"","parse-names":false,"suffix":""},{"dropping-particle":"","family":"Caporali","given":"Maria Grazia","non-dropping-particle":"","parse-names":false,"suffix":""},{"dropping-particle":"","family":"Baka","given":"Agoritsa","non-dropping-particle":"","parse-names":false,"suffix":""},{"dropping-particle":"","family":"Caks-Jager","given":"Nuska","non-dropping-particle":"","parse-names":false,"suffix":""},{"dropping-particle":"","family":"Melillo","given":"Tanya","non-dropping-particle":"","parse-names":false,"suffix":""},{"dropping-particle":"","family":"Mexia","given":"Ricardo","non-dropping-particle":"","parse-names":false,"suffix":""},{"dropping-particle":"","family":"Petrović","given":"Goranka","non-dropping-particle":"","parse-names":false,"suffix":""},{"dropping-particle":"","family":"Declich","given":"Silvia","non-dropping-particle":"","parse-names":false,"suffix":""}],"container-title":"Vaccine","id":"ITEM-1","issue":"32","issued":{"date-parts":[["2019","7"]]},"page":"4610-4617","title":"National immunization strategies targeting migrants in six European countries","type":"article-journal","volume":"37"},"uris":["http://www.mendeley.com/documents/?uuid=ffd8bf29-7d1c-4931-8c64-cbec6857f24c"]}],"mendeley":{"formattedCitation":"&lt;sup&gt;2&lt;/sup&gt;","plainTextFormattedCitation":"2","previouslyFormattedCitation":"&lt;sup&gt;2&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2</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917EEFD"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Giambi, 2019</w:t>
            </w:r>
          </w:p>
        </w:tc>
        <w:tc>
          <w:tcPr>
            <w:tcW w:w="509" w:type="dxa"/>
            <w:tcBorders>
              <w:top w:val="single" w:sz="4" w:space="0" w:color="000000"/>
              <w:left w:val="single" w:sz="12" w:space="0" w:color="000000"/>
              <w:bottom w:val="single" w:sz="4" w:space="0" w:color="000000"/>
            </w:tcBorders>
            <w:shd w:val="clear" w:color="auto" w:fill="auto"/>
            <w:vAlign w:val="center"/>
          </w:tcPr>
          <w:p w14:paraId="56385E6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4B89ED2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055CE92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58698F8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64B317E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45A8390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619FB78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4750798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7554094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3F61BE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0407890B" w14:textId="77777777" w:rsidTr="000B3355">
        <w:trPr>
          <w:trHeight w:val="267"/>
        </w:trPr>
        <w:tc>
          <w:tcPr>
            <w:tcW w:w="546" w:type="dxa"/>
            <w:tcBorders>
              <w:top w:val="nil"/>
              <w:left w:val="nil"/>
              <w:bottom w:val="single" w:sz="4" w:space="0" w:color="000000"/>
              <w:right w:val="single" w:sz="4" w:space="0" w:color="000000"/>
            </w:tcBorders>
            <w:vAlign w:val="center"/>
          </w:tcPr>
          <w:p w14:paraId="2905E01E"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10.1016/j.puhe.2019.04.008","ISSN":"00333506","author":[{"dropping-particle":"","family":"Godoy-Ramirez","given":"K.","non-dropping-particle":"","parse-names":false,"suffix":""},{"dropping-particle":"","family":"Byström","given":"E.","non-dropping-particle":"","parse-names":false,"suffix":""},{"dropping-particle":"","family":"Lindstrand","given":"A.","non-dropping-particle":"","parse-names":false,"suffix":""},{"dropping-particle":"","family":"Butler","given":"R.","non-dropping-particle":"","parse-names":false,"suffix":""},{"dropping-particle":"","family":"Ascher","given":"H.","non-dropping-particle":"","parse-names":false,"suffix":""},{"dropping-particle":"","family":"Kulane","given":"A.","non-dropping-particle":"","parse-names":false,"suffix":""}],"container-title":"Public Health","id":"ITEM-1","issued":{"date-parts":[["2019","6"]]},"page":"97-105","title":"Exploring childhood immunization among undocumented migrants in Sweden - following qualitative study and the World Health Organizations Guide to Tailoring Immunization Programmes (TIP)","type":"article-journal","volume":"171"},"uris":["http://www.mendeley.com/documents/?uuid=0c383e1a-493d-4a34-af95-c1ecbd76009a"]}],"mendeley":{"formattedCitation":"&lt;sup&gt;35&lt;/sup&gt;","plainTextFormattedCitation":"35","previouslyFormattedCitation":"&lt;sup&gt;35&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35</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173A900"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Godoy-Ramirez, 2019</w:t>
            </w:r>
          </w:p>
        </w:tc>
        <w:tc>
          <w:tcPr>
            <w:tcW w:w="509" w:type="dxa"/>
            <w:tcBorders>
              <w:top w:val="single" w:sz="4" w:space="0" w:color="000000"/>
              <w:left w:val="single" w:sz="12" w:space="0" w:color="000000"/>
              <w:bottom w:val="single" w:sz="4" w:space="0" w:color="000000"/>
            </w:tcBorders>
            <w:shd w:val="clear" w:color="auto" w:fill="auto"/>
            <w:vAlign w:val="center"/>
          </w:tcPr>
          <w:p w14:paraId="2D27577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5954453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10F0B4B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7D51808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ABBE5A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5565024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1F14CE0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7C31E9B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1E1052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508E741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16858CBB"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30212ECF"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color w:val="000000"/>
                <w:vertAlign w:val="superscript"/>
              </w:rPr>
              <w:fldChar w:fldCharType="begin" w:fldLock="1"/>
            </w:r>
            <w:r w:rsidRPr="00D51E20">
              <w:rPr>
                <w:rFonts w:ascii="Calibri" w:eastAsia="Calibri" w:hAnsi="Calibri" w:cs="Calibri"/>
                <w:color w:val="000000"/>
                <w:vertAlign w:val="superscript"/>
              </w:rPr>
              <w:instrText>ADDIN CSL_CITATION {"citationItems":[{"id":"ITEM-1","itemData":{"DOI":"10.2807/1560-7917.ES.2018.23.41.1700772","ISSN":"1560-7917","author":[{"dropping-particle":"","family":"Hargreaves","given":"Sally","non-dropping-particle":"","parse-names":false,"suffix":""},{"dropping-particle":"","family":"Nellums","given":"Laura B","non-dropping-particle":"","parse-names":false,"suffix":""},{"dropping-particle":"","family":"Ravensbergen","given":"Sofanne J","non-dropping-particle":"","parse-names":false,"suffix":""},{"dropping-particle":"","family":"Friedland","given":"Jon S","non-dropping-particle":"","parse-names":false,"suffix":""},{"dropping-particle":"","family":"Stienstra","given":"Ymkje","non-dropping-particle":"","parse-names":false,"suffix":""}],"container-title":"Eurosurveillance","id":"ITEM-1","issue":"41","issued":{"date-parts":[["2018","10","11"]]},"title":"Divergent approaches in the vaccination of recently arrived migrants to Europe: a survey of national experts from 32 countries, 2017","type":"article-journal","volume":"23"},"uris":["http://www.mendeley.com/documents/?uuid=0d7b055d-ae2a-475c-af38-77ba24ae1bd7"]}],"mendeley":{"formattedCitation":"&lt;sup&gt;36&lt;/sup&gt;","plainTextFormattedCitation":"36","previouslyFormattedCitation":"&lt;sup&gt;37&lt;/sup&gt;"},"properties":{"noteIndex":0},"schema":"https://github.com/citation-style-language/schema/raw/master/csl-citation.json"}</w:instrText>
            </w:r>
            <w:r w:rsidRPr="00D51E20">
              <w:rPr>
                <w:rFonts w:ascii="Calibri" w:eastAsia="Calibri" w:hAnsi="Calibri" w:cs="Calibri"/>
                <w:color w:val="000000"/>
                <w:vertAlign w:val="superscript"/>
              </w:rPr>
              <w:fldChar w:fldCharType="separate"/>
            </w:r>
            <w:r w:rsidRPr="00D51E20">
              <w:rPr>
                <w:rFonts w:ascii="Calibri" w:eastAsia="Calibri" w:hAnsi="Calibri" w:cs="Calibri"/>
                <w:noProof/>
                <w:color w:val="000000"/>
                <w:vertAlign w:val="superscript"/>
              </w:rPr>
              <w:t>36</w:t>
            </w:r>
            <w:r w:rsidRPr="00D51E20">
              <w:rPr>
                <w:rFonts w:ascii="Calibri" w:eastAsia="Calibri" w:hAnsi="Calibri" w:cs="Calibri"/>
                <w:color w:val="000000"/>
                <w:vertAlign w:val="superscript"/>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40D7D71"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Hargreaves, 2018</w:t>
            </w:r>
          </w:p>
        </w:tc>
        <w:tc>
          <w:tcPr>
            <w:tcW w:w="509" w:type="dxa"/>
            <w:tcBorders>
              <w:top w:val="single" w:sz="4" w:space="0" w:color="000000"/>
              <w:left w:val="single" w:sz="12" w:space="0" w:color="000000"/>
              <w:bottom w:val="single" w:sz="4" w:space="0" w:color="000000"/>
            </w:tcBorders>
            <w:shd w:val="clear" w:color="auto" w:fill="auto"/>
            <w:vAlign w:val="center"/>
          </w:tcPr>
          <w:p w14:paraId="1491FB0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3F58A82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473844E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4B900A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859F3B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0DE8459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22C1B67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7C812D6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2B770C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526F651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rsidRPr="005F4F52" w14:paraId="3E95264D"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1C74B1F6" w14:textId="77777777" w:rsidR="008D28BB" w:rsidRPr="0011179A" w:rsidRDefault="008D28BB" w:rsidP="000B3355">
            <w:pPr>
              <w:spacing w:after="0"/>
              <w:jc w:val="center"/>
              <w:rPr>
                <w:rFonts w:ascii="Calibri" w:eastAsia="Calibri" w:hAnsi="Calibri" w:cs="Calibri"/>
                <w:i/>
              </w:rPr>
            </w:pPr>
            <w:r w:rsidRPr="0011179A">
              <w:rPr>
                <w:rFonts w:ascii="Calibri" w:eastAsia="Calibri" w:hAnsi="Calibri" w:cs="Calibri"/>
                <w:vertAlign w:val="superscript"/>
              </w:rPr>
              <w:fldChar w:fldCharType="begin" w:fldLock="1"/>
            </w:r>
            <w:r w:rsidRPr="0011179A">
              <w:rPr>
                <w:rFonts w:ascii="Calibri" w:eastAsia="Calibri" w:hAnsi="Calibri" w:cs="Calibri"/>
                <w:vertAlign w:val="superscript"/>
              </w:rPr>
              <w:instrText>ADDIN CSL_CITATION {"citationItems":[{"id":"ITEM-1","itemData":{"author":[{"dropping-particle":"","family":"Huerta González Ismael","given":"","non-dropping-particle":"","parse-names":false,"suffix":""}],"id":"ITEM-1","issued":{"date-parts":[["2016"]]},"title":"Protocolo de vacunación de personas refugiadas. Dirección General de Salud Pública, Consejería de Sanidad Asturias","type":"report"},"uris":["http://www.mendeley.com/documents/?uuid=d4588f40-fcd6-499e-9228-db65167a98f6"]}],"mendeley":{"formattedCitation":"&lt;sup&gt;37&lt;/sup&gt;","plainTextFormattedCitation":"37","previouslyFormattedCitation":"&lt;sup&gt;36&lt;/sup&gt;"},"properties":{"noteIndex":0},"schema":"https://github.com/citation-style-language/schema/raw/master/csl-citation.json"}</w:instrText>
            </w:r>
            <w:r w:rsidRPr="0011179A">
              <w:rPr>
                <w:rFonts w:ascii="Calibri" w:eastAsia="Calibri" w:hAnsi="Calibri" w:cs="Calibri"/>
                <w:vertAlign w:val="superscript"/>
              </w:rPr>
              <w:fldChar w:fldCharType="separate"/>
            </w:r>
            <w:r w:rsidRPr="0011179A">
              <w:rPr>
                <w:rFonts w:ascii="Calibri" w:eastAsia="Calibri" w:hAnsi="Calibri" w:cs="Calibri"/>
                <w:noProof/>
                <w:vertAlign w:val="superscript"/>
              </w:rPr>
              <w:t>37</w:t>
            </w:r>
            <w:r w:rsidRPr="0011179A">
              <w:rPr>
                <w:rFonts w:ascii="Calibri" w:eastAsia="Calibri" w:hAnsi="Calibri" w:cs="Calibri"/>
                <w:vertAlign w:val="superscript"/>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3DBDD8B" w14:textId="77777777" w:rsidR="008D28BB" w:rsidRPr="0011179A" w:rsidRDefault="008D28BB" w:rsidP="000B3355">
            <w:pPr>
              <w:spacing w:after="0"/>
              <w:rPr>
                <w:rFonts w:ascii="Calibri" w:eastAsia="Calibri" w:hAnsi="Calibri" w:cs="Calibri"/>
                <w:i/>
              </w:rPr>
            </w:pPr>
            <w:r w:rsidRPr="0011179A">
              <w:rPr>
                <w:rFonts w:ascii="Calibri" w:eastAsia="Calibri" w:hAnsi="Calibri" w:cs="Calibri"/>
                <w:i/>
              </w:rPr>
              <w:t>Huerta González, 2016</w:t>
            </w:r>
          </w:p>
        </w:tc>
        <w:tc>
          <w:tcPr>
            <w:tcW w:w="509" w:type="dxa"/>
            <w:tcBorders>
              <w:top w:val="single" w:sz="4" w:space="0" w:color="000000"/>
              <w:left w:val="single" w:sz="12" w:space="0" w:color="000000"/>
              <w:bottom w:val="single" w:sz="4" w:space="0" w:color="000000"/>
            </w:tcBorders>
            <w:shd w:val="clear" w:color="auto" w:fill="auto"/>
            <w:vAlign w:val="center"/>
          </w:tcPr>
          <w:p w14:paraId="64CEF9A8" w14:textId="77777777" w:rsidR="008D28BB" w:rsidRPr="005F4F52" w:rsidRDefault="008D28BB" w:rsidP="000B3355">
            <w:pPr>
              <w:spacing w:after="0"/>
              <w:jc w:val="right"/>
              <w:rPr>
                <w:rFonts w:ascii="Calibri" w:eastAsia="Calibri" w:hAnsi="Calibri" w:cs="Calibri"/>
              </w:rPr>
            </w:pPr>
            <w:r w:rsidRPr="005F4F52">
              <w:rPr>
                <w:rFonts w:ascii="Calibri" w:eastAsia="Calibri" w:hAnsi="Calibri" w:cs="Calibri"/>
              </w:rPr>
              <w:t> </w:t>
            </w:r>
          </w:p>
        </w:tc>
        <w:tc>
          <w:tcPr>
            <w:tcW w:w="595" w:type="dxa"/>
            <w:tcBorders>
              <w:top w:val="single" w:sz="4" w:space="0" w:color="000000"/>
              <w:bottom w:val="single" w:sz="4" w:space="0" w:color="000000"/>
              <w:right w:val="single" w:sz="4" w:space="0" w:color="000000"/>
            </w:tcBorders>
            <w:shd w:val="clear" w:color="auto" w:fill="auto"/>
            <w:vAlign w:val="center"/>
          </w:tcPr>
          <w:p w14:paraId="734C8BE7" w14:textId="77777777" w:rsidR="008D28BB" w:rsidRPr="005F4F52" w:rsidRDefault="008D28BB" w:rsidP="000B3355">
            <w:pPr>
              <w:spacing w:after="0"/>
              <w:rPr>
                <w:rFonts w:ascii="Calibri" w:eastAsia="Calibri" w:hAnsi="Calibri" w:cs="Calibri"/>
              </w:rPr>
            </w:pPr>
            <w:r w:rsidRPr="005F4F52">
              <w:rPr>
                <w:rFonts w:ascii="Calibri" w:eastAsia="Calibri" w:hAnsi="Calibri" w:cs="Calibri"/>
              </w:rPr>
              <w:t> </w:t>
            </w:r>
          </w:p>
        </w:tc>
        <w:tc>
          <w:tcPr>
            <w:tcW w:w="535" w:type="dxa"/>
            <w:tcBorders>
              <w:top w:val="single" w:sz="4" w:space="0" w:color="000000"/>
              <w:left w:val="single" w:sz="4" w:space="0" w:color="000000"/>
              <w:bottom w:val="single" w:sz="4" w:space="0" w:color="000000"/>
            </w:tcBorders>
            <w:shd w:val="clear" w:color="auto" w:fill="auto"/>
            <w:vAlign w:val="center"/>
          </w:tcPr>
          <w:p w14:paraId="5AA01002" w14:textId="77777777" w:rsidR="008D28BB" w:rsidRPr="005F4F52" w:rsidRDefault="008D28BB" w:rsidP="000B3355">
            <w:pPr>
              <w:spacing w:after="0"/>
              <w:jc w:val="right"/>
              <w:rPr>
                <w:rFonts w:ascii="Calibri" w:eastAsia="Calibri" w:hAnsi="Calibri" w:cs="Calibri"/>
              </w:rPr>
            </w:pPr>
            <w:r w:rsidRPr="005F4F52">
              <w:rPr>
                <w:rFonts w:ascii="Calibri" w:eastAsia="Calibri" w:hAnsi="Calibri" w:cs="Calibri"/>
              </w:rPr>
              <w:t> x</w:t>
            </w:r>
          </w:p>
        </w:tc>
        <w:tc>
          <w:tcPr>
            <w:tcW w:w="624" w:type="dxa"/>
            <w:tcBorders>
              <w:top w:val="single" w:sz="4" w:space="0" w:color="000000"/>
              <w:bottom w:val="single" w:sz="4" w:space="0" w:color="000000"/>
              <w:right w:val="single" w:sz="4" w:space="0" w:color="000000"/>
            </w:tcBorders>
            <w:shd w:val="clear" w:color="auto" w:fill="auto"/>
            <w:vAlign w:val="center"/>
          </w:tcPr>
          <w:p w14:paraId="4992F691" w14:textId="77777777" w:rsidR="008D28BB" w:rsidRPr="005F4F52" w:rsidRDefault="008D28BB" w:rsidP="000B3355">
            <w:pPr>
              <w:spacing w:after="0"/>
              <w:rPr>
                <w:rFonts w:ascii="Calibri" w:eastAsia="Calibri" w:hAnsi="Calibri" w:cs="Calibri"/>
              </w:rPr>
            </w:pPr>
            <w:r w:rsidRPr="005F4F52">
              <w:rPr>
                <w:rFonts w:ascii="Calibri" w:eastAsia="Calibri" w:hAnsi="Calibri" w:cs="Calibri"/>
              </w:rPr>
              <w:t>o</w:t>
            </w:r>
          </w:p>
        </w:tc>
        <w:tc>
          <w:tcPr>
            <w:tcW w:w="472" w:type="dxa"/>
            <w:tcBorders>
              <w:top w:val="single" w:sz="4" w:space="0" w:color="000000"/>
              <w:left w:val="single" w:sz="4" w:space="0" w:color="000000"/>
              <w:bottom w:val="single" w:sz="4" w:space="0" w:color="000000"/>
            </w:tcBorders>
            <w:shd w:val="clear" w:color="auto" w:fill="auto"/>
            <w:vAlign w:val="center"/>
          </w:tcPr>
          <w:p w14:paraId="2609EA59" w14:textId="77777777" w:rsidR="008D28BB" w:rsidRPr="005F4F52" w:rsidRDefault="008D28BB" w:rsidP="000B3355">
            <w:pPr>
              <w:spacing w:after="0"/>
              <w:jc w:val="right"/>
              <w:rPr>
                <w:rFonts w:ascii="Calibri" w:eastAsia="Calibri" w:hAnsi="Calibri" w:cs="Calibri"/>
              </w:rPr>
            </w:pPr>
            <w:r w:rsidRPr="005F4F52">
              <w:rPr>
                <w:rFonts w:ascii="Calibri" w:eastAsia="Calibri" w:hAnsi="Calibri" w:cs="Calibri"/>
              </w:rPr>
              <w:t> </w:t>
            </w:r>
          </w:p>
        </w:tc>
        <w:tc>
          <w:tcPr>
            <w:tcW w:w="547" w:type="dxa"/>
            <w:tcBorders>
              <w:top w:val="single" w:sz="4" w:space="0" w:color="000000"/>
              <w:bottom w:val="single" w:sz="4" w:space="0" w:color="000000"/>
              <w:right w:val="single" w:sz="4" w:space="0" w:color="000000"/>
            </w:tcBorders>
            <w:shd w:val="clear" w:color="auto" w:fill="auto"/>
            <w:vAlign w:val="center"/>
          </w:tcPr>
          <w:p w14:paraId="657031B8" w14:textId="77777777" w:rsidR="008D28BB" w:rsidRPr="005F4F52" w:rsidRDefault="008D28BB" w:rsidP="000B3355">
            <w:pPr>
              <w:spacing w:after="0"/>
              <w:rPr>
                <w:rFonts w:ascii="Calibri" w:eastAsia="Calibri" w:hAnsi="Calibri" w:cs="Calibri"/>
              </w:rPr>
            </w:pPr>
            <w:r w:rsidRPr="005F4F52">
              <w:rPr>
                <w:rFonts w:ascii="Calibri" w:eastAsia="Calibri" w:hAnsi="Calibri" w:cs="Calibri"/>
              </w:rPr>
              <w:t>o</w:t>
            </w:r>
          </w:p>
        </w:tc>
        <w:tc>
          <w:tcPr>
            <w:tcW w:w="562" w:type="dxa"/>
            <w:tcBorders>
              <w:top w:val="single" w:sz="4" w:space="0" w:color="000000"/>
              <w:left w:val="single" w:sz="4" w:space="0" w:color="000000"/>
              <w:bottom w:val="single" w:sz="4" w:space="0" w:color="000000"/>
            </w:tcBorders>
            <w:shd w:val="clear" w:color="auto" w:fill="auto"/>
            <w:vAlign w:val="center"/>
          </w:tcPr>
          <w:p w14:paraId="1C30546F" w14:textId="77777777" w:rsidR="008D28BB" w:rsidRPr="005F4F52" w:rsidRDefault="008D28BB" w:rsidP="000B3355">
            <w:pPr>
              <w:spacing w:after="0"/>
              <w:jc w:val="right"/>
              <w:rPr>
                <w:rFonts w:ascii="Calibri" w:eastAsia="Calibri" w:hAnsi="Calibri" w:cs="Calibri"/>
              </w:rPr>
            </w:pPr>
            <w:r w:rsidRPr="005F4F52">
              <w:rPr>
                <w:rFonts w:ascii="Calibri" w:eastAsia="Calibri" w:hAnsi="Calibri" w:cs="Calibri"/>
              </w:rPr>
              <w:t> </w:t>
            </w:r>
          </w:p>
        </w:tc>
        <w:tc>
          <w:tcPr>
            <w:tcW w:w="657" w:type="dxa"/>
            <w:tcBorders>
              <w:top w:val="single" w:sz="4" w:space="0" w:color="000000"/>
              <w:bottom w:val="single" w:sz="4" w:space="0" w:color="000000"/>
              <w:right w:val="single" w:sz="4" w:space="0" w:color="000000"/>
            </w:tcBorders>
            <w:shd w:val="clear" w:color="auto" w:fill="auto"/>
            <w:vAlign w:val="center"/>
          </w:tcPr>
          <w:p w14:paraId="0523F215" w14:textId="77777777" w:rsidR="008D28BB" w:rsidRPr="005F4F52" w:rsidRDefault="008D28BB" w:rsidP="000B3355">
            <w:pPr>
              <w:spacing w:after="0"/>
              <w:rPr>
                <w:rFonts w:ascii="Calibri" w:eastAsia="Calibri" w:hAnsi="Calibri" w:cs="Calibri"/>
              </w:rPr>
            </w:pPr>
            <w:r w:rsidRPr="005F4F52">
              <w:rPr>
                <w:rFonts w:ascii="Calibri" w:eastAsia="Calibri" w:hAnsi="Calibri" w:cs="Calibri"/>
              </w:rPr>
              <w:t>o</w:t>
            </w:r>
          </w:p>
        </w:tc>
        <w:tc>
          <w:tcPr>
            <w:tcW w:w="472" w:type="dxa"/>
            <w:tcBorders>
              <w:top w:val="single" w:sz="4" w:space="0" w:color="000000"/>
              <w:left w:val="single" w:sz="4" w:space="0" w:color="000000"/>
              <w:bottom w:val="single" w:sz="4" w:space="0" w:color="000000"/>
            </w:tcBorders>
            <w:shd w:val="clear" w:color="auto" w:fill="auto"/>
            <w:vAlign w:val="center"/>
          </w:tcPr>
          <w:p w14:paraId="4F0AB53E" w14:textId="77777777" w:rsidR="008D28BB" w:rsidRPr="005F4F52" w:rsidRDefault="008D28BB" w:rsidP="000B3355">
            <w:pPr>
              <w:spacing w:after="0"/>
              <w:jc w:val="right"/>
              <w:rPr>
                <w:rFonts w:ascii="Calibri" w:eastAsia="Calibri" w:hAnsi="Calibri" w:cs="Calibri"/>
              </w:rPr>
            </w:pPr>
            <w:r w:rsidRPr="005F4F52">
              <w:rPr>
                <w:rFonts w:ascii="Calibri" w:eastAsia="Calibri" w:hAnsi="Calibri" w:cs="Calibri"/>
              </w:rPr>
              <w:t> </w:t>
            </w:r>
          </w:p>
        </w:tc>
        <w:tc>
          <w:tcPr>
            <w:tcW w:w="639" w:type="dxa"/>
            <w:tcBorders>
              <w:top w:val="single" w:sz="4" w:space="0" w:color="000000"/>
              <w:bottom w:val="single" w:sz="4" w:space="0" w:color="000000"/>
              <w:right w:val="nil"/>
            </w:tcBorders>
            <w:shd w:val="clear" w:color="auto" w:fill="auto"/>
            <w:vAlign w:val="center"/>
          </w:tcPr>
          <w:p w14:paraId="68D7EC67" w14:textId="77777777" w:rsidR="008D28BB" w:rsidRPr="005F4F52" w:rsidRDefault="008D28BB" w:rsidP="000B3355">
            <w:pPr>
              <w:spacing w:after="0"/>
              <w:rPr>
                <w:rFonts w:ascii="Calibri" w:eastAsia="Calibri" w:hAnsi="Calibri" w:cs="Calibri"/>
              </w:rPr>
            </w:pPr>
            <w:r w:rsidRPr="005F4F52">
              <w:rPr>
                <w:rFonts w:ascii="Calibri" w:eastAsia="Calibri" w:hAnsi="Calibri" w:cs="Calibri"/>
              </w:rPr>
              <w:t> </w:t>
            </w:r>
          </w:p>
        </w:tc>
      </w:tr>
      <w:tr w:rsidR="008D28BB" w14:paraId="15F0D1AE"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7AEB2D9D"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{"citationItems":[{"id":"ITEM-1","itemData":{"DOI":"10.3390/ijerph15102065","ISSN":"1660-4601","abstract":"Newly arrived migrants to the EU/EEA (arrival within the past five years), as well as other migrant groups in the region, might be under-immunised and lack documentation of previous vaccinations, putting them at increased risk of vaccine-preventable diseases circulating in Europe. We therefore performed a systematic review conforming to PRISMA guidelines (PROSPERO CRD42016045798) to explore: (i) interventions that improve vaccine uptake among migrants; and (ii) cost-effectiveness of vaccination strategies among this population. We searched MEDLINE, Embase, CINAHL, and Cochrane Database of Systematic Reviews (CDSR) between 1 January 2006 to 18 June 2018. We included three primary intervention studies performed in the EU/EEA or high-income countries and one cost effectiveness study relevant to vaccinations in migrants. Intervention studies showed small but promising impact only on vaccine uptake with social mobilization/community outreach, planned vaccination programs and education campaigns. Targeting migrants for catch-up vaccination is cost effective for presumptive vaccination for diphtheria, tetanus, and polio, and there was no evidence of benefit of carrying out pre-vaccination serological testing. The cost-effectiveness is sensitive to the seroprevalence and adherence to vaccinations of the migrant. We conclude that scarce but direct EU/EEA data suggest social mobilization, vaccine programs, and education campaigns are promising strategies for migrants, but more research is needed. Research should also study cost effectiveness of strategies. Vaccination of migrants should continue to be a public heath priority in EU/EEA.","author":[{"dropping-particle":"","family":"Hui","given":"Charles","non-dropping-particle":"","parse-names":false,"suffix":""},{"dropping-particle":"","family":"Dunn","given":"Jessica","non-dropping-particle":"","parse-names":false,"suffix":""},{"dropping-particle":"","family":"Morton","given":"Rachael","non-dropping-particle":"","parse-names":false,"suffix":""},{"dropping-particle":"","family":"Staub","given":"Lukas","non-dropping-particle":"","parse-names":false,"suffix":""},{"dropping-particle":"","family":"Tran","given":"Anh","non-dropping-particle":"","parse-names":false,"suffix":""},{"dropping-particle":"","family":"Hargreaves","given":"Sally","non-dropping-particle":"","parse-names":false,"suffix":""},{"dropping-particle":"","family":"Greenaway","given":"Christina","non-dropping-particle":"","parse-names":false,"suffix":""},{"dropping-particle":"","family":"Biggs","given":"Beverly","non-dropping-particle":"","parse-names":false,"suffix":""},{"dropping-particle":"","family":"Christensen","given":"Robin","non-dropping-particle":"","parse-names":false,"suffix":""},{"dropping-particle":"","family":"Pottie","given":"Kevin","non-dropping-particle":"","parse-names":false,"suffix":""}],"container-title":"International Journal of Environmental Research and Public Health","id":"ITEM-1","issue":"10","issued":{"date-parts":[["2018","9","20"]]},"page":"2065","title":"Interventions to Improve Vaccination Uptake and Cost Effectiveness of Vaccination Strategies in Newly Arrived Migrants in the EU/EEA: A Systematic Review","type":"article-journal","volume":"15"},"uris":["http://www.mendeley.com/documents/?uuid=35917962-44cf-405f-9dc7-9ba72af8b22a"]}],"mendeley":{"formattedCitation":"&lt;sup&gt;38&lt;/sup&gt;","plainTextFormattedCitation":"38","previouslyFormattedCitation":"&lt;sup&gt;38&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38</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2B41D17A"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Hui, 2018</w:t>
            </w:r>
          </w:p>
        </w:tc>
        <w:tc>
          <w:tcPr>
            <w:tcW w:w="509" w:type="dxa"/>
            <w:tcBorders>
              <w:top w:val="single" w:sz="4" w:space="0" w:color="000000"/>
              <w:left w:val="single" w:sz="12" w:space="0" w:color="000000"/>
              <w:bottom w:val="single" w:sz="4" w:space="0" w:color="000000"/>
            </w:tcBorders>
            <w:shd w:val="clear" w:color="auto" w:fill="auto"/>
            <w:vAlign w:val="center"/>
          </w:tcPr>
          <w:p w14:paraId="170E0F7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173E90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6C060A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D47D03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070B8BA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60F9259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5123D3D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6683C67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8617C6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7EEE459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218FB7EA"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52A8C49F"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{"citationItems":[{"id":"ITEM-1","itemData":{"author":[{"dropping-particle":"","family":"International Organization for Migration - IOM","given":"UN Migration.","non-dropping-particle":"","parse-names":false,"suffix":""}],"id":"ITEM-1","issued":{"date-parts":[["2019"]]},"title":"Migration flow: https://migration.iom.int/datasets/europe-%E2%80%94-mixed-migration-flows-europe-quarterlyoverview-january-december-2019 https://migration.iom.int/europe?type=arrivals","type":"report"},"uris":["http://www.mendeley.com/documents/?uuid=0bc9816f-7d21-4007-9f71-5c0dfac07e2e"]}],"mendeley":{"formattedCitation":"&lt;sup&gt;39&lt;/sup&gt;","plainTextFormattedCitation":"39","previouslyFormattedCitation":"&lt;sup&gt;39&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39</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2F8BDB62"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IOM, 2021</w:t>
            </w:r>
          </w:p>
        </w:tc>
        <w:tc>
          <w:tcPr>
            <w:tcW w:w="509" w:type="dxa"/>
            <w:tcBorders>
              <w:top w:val="single" w:sz="4" w:space="0" w:color="000000"/>
              <w:left w:val="single" w:sz="12" w:space="0" w:color="000000"/>
              <w:bottom w:val="single" w:sz="4" w:space="0" w:color="000000"/>
            </w:tcBorders>
            <w:shd w:val="clear" w:color="auto" w:fill="auto"/>
            <w:vAlign w:val="center"/>
          </w:tcPr>
          <w:p w14:paraId="236C0D5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03490BD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458F2C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03669FC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130D4E5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00835BC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4A6420D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7E4D434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51BF32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4C4C2E0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4CAD49D3"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218F43E8" w14:textId="77777777" w:rsidR="008D28BB" w:rsidRPr="0011179A" w:rsidRDefault="008D28BB" w:rsidP="000B3355">
            <w:pPr>
              <w:spacing w:after="0"/>
              <w:jc w:val="center"/>
              <w:rPr>
                <w:rFonts w:ascii="Calibri" w:eastAsia="Calibri" w:hAnsi="Calibri" w:cs="Calibri"/>
                <w:i/>
              </w:rPr>
            </w:pPr>
            <w:r w:rsidRPr="0011179A">
              <w:rPr>
                <w:rFonts w:ascii="Calibri" w:eastAsia="Calibri" w:hAnsi="Calibri" w:cs="Calibri"/>
                <w:i/>
              </w:rPr>
              <w:fldChar w:fldCharType="begin" w:fldLock="1"/>
            </w:r>
            <w:r w:rsidRPr="0011179A">
              <w:rPr>
                <w:rFonts w:ascii="Calibri" w:eastAsia="Calibri" w:hAnsi="Calibri" w:cs="Calibri"/>
                <w:i/>
              </w:rPr>
              <w:instrText>ADDIN CSL_CITATION {"citationItems":[{"id":"ITEM-1","itemData":{"author":[{"dropping-particle":"","family":"Italian Ministry of Health (Italian MoH","given":"2017)","non-dropping-particle":"","parse-names":false,"suffix":""}],"id":"ITEM-1","issued":{"date-parts":[["2017"]]},"title":"Piano Nazionale Prevenzione Vaccinale PNPV 2017-2019","type":"report"},"uris":["http://www.mendeley.com/documents/?uuid=629022b2-5802-4378-90ae-bd8f09e31b3c"]}],"mendeley":{"formattedCitation":"&lt;sup&gt;40&lt;/sup&gt;","plainTextFormattedCitation":"40","previouslyFormattedCitation":"&lt;sup&gt;40&lt;/sup&gt;"},"properties":{"noteIndex":0},"schema":"https://github.com/citation-style-language/schema/raw/master/csl-citation.json"}</w:instrText>
            </w:r>
            <w:r w:rsidRPr="0011179A">
              <w:rPr>
                <w:rFonts w:ascii="Calibri" w:eastAsia="Calibri" w:hAnsi="Calibri" w:cs="Calibri"/>
                <w:i/>
              </w:rPr>
              <w:fldChar w:fldCharType="separate"/>
            </w:r>
            <w:r w:rsidRPr="0011179A">
              <w:rPr>
                <w:rFonts w:ascii="Calibri" w:eastAsia="Calibri" w:hAnsi="Calibri" w:cs="Calibri"/>
                <w:noProof/>
                <w:vertAlign w:val="superscript"/>
              </w:rPr>
              <w:t>40</w:t>
            </w:r>
            <w:r w:rsidRPr="0011179A">
              <w:rPr>
                <w:rFonts w:ascii="Calibri" w:eastAsia="Calibri" w:hAnsi="Calibri" w:cs="Calibri"/>
                <w:i/>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02CE217" w14:textId="77777777" w:rsidR="008D28BB" w:rsidRPr="0011179A" w:rsidRDefault="008D28BB" w:rsidP="000B3355">
            <w:pPr>
              <w:spacing w:after="0"/>
              <w:rPr>
                <w:rFonts w:ascii="Calibri" w:eastAsia="Calibri" w:hAnsi="Calibri" w:cs="Calibri"/>
                <w:i/>
              </w:rPr>
            </w:pPr>
            <w:r w:rsidRPr="0011179A">
              <w:rPr>
                <w:rFonts w:ascii="Calibri" w:eastAsia="Calibri" w:hAnsi="Calibri" w:cs="Calibri"/>
                <w:i/>
              </w:rPr>
              <w:t>Italian MoH, 2017</w:t>
            </w:r>
          </w:p>
        </w:tc>
        <w:tc>
          <w:tcPr>
            <w:tcW w:w="509" w:type="dxa"/>
            <w:tcBorders>
              <w:top w:val="single" w:sz="4" w:space="0" w:color="000000"/>
              <w:left w:val="single" w:sz="12" w:space="0" w:color="000000"/>
              <w:bottom w:val="single" w:sz="4" w:space="0" w:color="000000"/>
            </w:tcBorders>
            <w:shd w:val="clear" w:color="auto" w:fill="auto"/>
            <w:vAlign w:val="center"/>
          </w:tcPr>
          <w:p w14:paraId="24EA58C9"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595" w:type="dxa"/>
            <w:tcBorders>
              <w:top w:val="single" w:sz="4" w:space="0" w:color="000000"/>
              <w:bottom w:val="single" w:sz="4" w:space="0" w:color="000000"/>
              <w:right w:val="single" w:sz="4" w:space="0" w:color="000000"/>
            </w:tcBorders>
            <w:shd w:val="clear" w:color="auto" w:fill="auto"/>
            <w:vAlign w:val="center"/>
          </w:tcPr>
          <w:p w14:paraId="4D5CD4FC" w14:textId="77777777" w:rsidR="008D28BB" w:rsidRDefault="008D28BB" w:rsidP="000B3355">
            <w:pPr>
              <w:spacing w:after="0"/>
              <w:rPr>
                <w:rFonts w:ascii="Calibri" w:eastAsia="Calibri" w:hAnsi="Calibri" w:cs="Calibri"/>
              </w:rPr>
            </w:pPr>
            <w:r>
              <w:rPr>
                <w:rFonts w:ascii="Calibri" w:eastAsia="Calibri" w:hAnsi="Calibri" w:cs="Calibri"/>
              </w:rPr>
              <w:t> </w:t>
            </w:r>
          </w:p>
        </w:tc>
        <w:tc>
          <w:tcPr>
            <w:tcW w:w="535" w:type="dxa"/>
            <w:tcBorders>
              <w:top w:val="single" w:sz="4" w:space="0" w:color="000000"/>
              <w:left w:val="single" w:sz="4" w:space="0" w:color="000000"/>
              <w:bottom w:val="single" w:sz="4" w:space="0" w:color="000000"/>
            </w:tcBorders>
            <w:shd w:val="clear" w:color="auto" w:fill="auto"/>
            <w:vAlign w:val="center"/>
          </w:tcPr>
          <w:p w14:paraId="7D63A9B3" w14:textId="77777777" w:rsidR="008D28BB" w:rsidRDefault="008D28BB" w:rsidP="000B3355">
            <w:pPr>
              <w:spacing w:after="0"/>
              <w:jc w:val="right"/>
              <w:rPr>
                <w:rFonts w:ascii="Calibri" w:eastAsia="Calibri" w:hAnsi="Calibri" w:cs="Calibri"/>
              </w:rPr>
            </w:pPr>
            <w:r>
              <w:rPr>
                <w:rFonts w:ascii="Calibri" w:eastAsia="Calibri" w:hAnsi="Calibri" w:cs="Calibri"/>
              </w:rPr>
              <w:t>x</w:t>
            </w:r>
          </w:p>
        </w:tc>
        <w:tc>
          <w:tcPr>
            <w:tcW w:w="624" w:type="dxa"/>
            <w:tcBorders>
              <w:top w:val="single" w:sz="4" w:space="0" w:color="000000"/>
              <w:bottom w:val="single" w:sz="4" w:space="0" w:color="000000"/>
              <w:right w:val="single" w:sz="4" w:space="0" w:color="000000"/>
            </w:tcBorders>
            <w:shd w:val="clear" w:color="auto" w:fill="auto"/>
            <w:vAlign w:val="center"/>
          </w:tcPr>
          <w:p w14:paraId="73723647" w14:textId="77777777" w:rsidR="008D28BB" w:rsidRDefault="008D28BB" w:rsidP="000B3355">
            <w:pPr>
              <w:spacing w:after="0"/>
              <w:rPr>
                <w:rFonts w:ascii="Calibri" w:eastAsia="Calibri" w:hAnsi="Calibri" w:cs="Calibri"/>
              </w:rPr>
            </w:pPr>
            <w:r>
              <w:rPr>
                <w:rFonts w:ascii="Calibri" w:eastAsia="Calibri" w:hAnsi="Calibri" w:cs="Calibri"/>
              </w:rPr>
              <w:t>o</w:t>
            </w:r>
          </w:p>
        </w:tc>
        <w:tc>
          <w:tcPr>
            <w:tcW w:w="472" w:type="dxa"/>
            <w:tcBorders>
              <w:top w:val="single" w:sz="4" w:space="0" w:color="000000"/>
              <w:left w:val="single" w:sz="4" w:space="0" w:color="000000"/>
              <w:bottom w:val="single" w:sz="4" w:space="0" w:color="000000"/>
            </w:tcBorders>
            <w:shd w:val="clear" w:color="auto" w:fill="auto"/>
            <w:vAlign w:val="center"/>
          </w:tcPr>
          <w:p w14:paraId="7F99448A"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547" w:type="dxa"/>
            <w:tcBorders>
              <w:top w:val="single" w:sz="4" w:space="0" w:color="000000"/>
              <w:bottom w:val="single" w:sz="4" w:space="0" w:color="000000"/>
              <w:right w:val="single" w:sz="4" w:space="0" w:color="000000"/>
            </w:tcBorders>
            <w:shd w:val="clear" w:color="auto" w:fill="auto"/>
            <w:vAlign w:val="center"/>
          </w:tcPr>
          <w:p w14:paraId="35E760FD" w14:textId="77777777" w:rsidR="008D28BB" w:rsidRDefault="008D28BB" w:rsidP="000B3355">
            <w:pPr>
              <w:spacing w:after="0"/>
              <w:rPr>
                <w:rFonts w:ascii="Calibri" w:eastAsia="Calibri" w:hAnsi="Calibri" w:cs="Calibri"/>
              </w:rPr>
            </w:pPr>
            <w:r>
              <w:rPr>
                <w:rFonts w:ascii="Calibri" w:eastAsia="Calibri" w:hAnsi="Calibri" w:cs="Calibri"/>
              </w:rPr>
              <w:t>o</w:t>
            </w:r>
          </w:p>
        </w:tc>
        <w:tc>
          <w:tcPr>
            <w:tcW w:w="562" w:type="dxa"/>
            <w:tcBorders>
              <w:top w:val="single" w:sz="4" w:space="0" w:color="000000"/>
              <w:left w:val="single" w:sz="4" w:space="0" w:color="000000"/>
              <w:bottom w:val="single" w:sz="4" w:space="0" w:color="000000"/>
            </w:tcBorders>
            <w:shd w:val="clear" w:color="auto" w:fill="auto"/>
            <w:vAlign w:val="center"/>
          </w:tcPr>
          <w:p w14:paraId="08809152" w14:textId="77777777" w:rsidR="008D28BB" w:rsidRDefault="008D28BB" w:rsidP="000B3355">
            <w:pPr>
              <w:spacing w:after="0"/>
              <w:jc w:val="right"/>
              <w:rPr>
                <w:rFonts w:ascii="Calibri" w:eastAsia="Calibri" w:hAnsi="Calibri" w:cs="Calibri"/>
              </w:rPr>
            </w:pPr>
            <w:r>
              <w:rPr>
                <w:rFonts w:ascii="Calibri" w:eastAsia="Calibri" w:hAnsi="Calibri" w:cs="Calibri"/>
              </w:rPr>
              <w:t>x</w:t>
            </w:r>
          </w:p>
        </w:tc>
        <w:tc>
          <w:tcPr>
            <w:tcW w:w="657" w:type="dxa"/>
            <w:tcBorders>
              <w:top w:val="single" w:sz="4" w:space="0" w:color="000000"/>
              <w:bottom w:val="single" w:sz="4" w:space="0" w:color="000000"/>
              <w:right w:val="single" w:sz="4" w:space="0" w:color="000000"/>
            </w:tcBorders>
            <w:shd w:val="clear" w:color="auto" w:fill="auto"/>
            <w:vAlign w:val="center"/>
          </w:tcPr>
          <w:p w14:paraId="4753AE3C" w14:textId="77777777" w:rsidR="008D28BB" w:rsidRDefault="008D28BB" w:rsidP="000B3355">
            <w:pPr>
              <w:spacing w:after="0"/>
              <w:rPr>
                <w:rFonts w:ascii="Calibri" w:eastAsia="Calibri" w:hAnsi="Calibri" w:cs="Calibri"/>
              </w:rPr>
            </w:pPr>
            <w:r>
              <w:rPr>
                <w:rFonts w:ascii="Calibri" w:eastAsia="Calibri" w:hAnsi="Calibri" w:cs="Calibri"/>
              </w:rPr>
              <w:t>o</w:t>
            </w:r>
          </w:p>
        </w:tc>
        <w:tc>
          <w:tcPr>
            <w:tcW w:w="472" w:type="dxa"/>
            <w:tcBorders>
              <w:top w:val="single" w:sz="4" w:space="0" w:color="000000"/>
              <w:left w:val="single" w:sz="4" w:space="0" w:color="000000"/>
              <w:bottom w:val="single" w:sz="4" w:space="0" w:color="000000"/>
            </w:tcBorders>
            <w:shd w:val="clear" w:color="auto" w:fill="auto"/>
            <w:vAlign w:val="center"/>
          </w:tcPr>
          <w:p w14:paraId="70501D85"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39" w:type="dxa"/>
            <w:tcBorders>
              <w:top w:val="single" w:sz="4" w:space="0" w:color="000000"/>
              <w:bottom w:val="single" w:sz="4" w:space="0" w:color="000000"/>
              <w:right w:val="nil"/>
            </w:tcBorders>
            <w:shd w:val="clear" w:color="auto" w:fill="auto"/>
            <w:vAlign w:val="center"/>
          </w:tcPr>
          <w:p w14:paraId="4C895C78" w14:textId="77777777" w:rsidR="008D28BB" w:rsidRDefault="008D28BB" w:rsidP="000B3355">
            <w:pPr>
              <w:spacing w:after="0"/>
              <w:rPr>
                <w:rFonts w:ascii="Calibri" w:eastAsia="Calibri" w:hAnsi="Calibri" w:cs="Calibri"/>
              </w:rPr>
            </w:pPr>
            <w:r>
              <w:rPr>
                <w:rFonts w:ascii="Calibri" w:eastAsia="Calibri" w:hAnsi="Calibri" w:cs="Calibri"/>
              </w:rPr>
              <w:t> </w:t>
            </w:r>
          </w:p>
        </w:tc>
      </w:tr>
      <w:tr w:rsidR="008D28BB" w14:paraId="1F00196D"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2EF60283"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{"citationItems":[{"id":"ITEM-1","itemData":{"author":[{"dropping-particle":"","family":"Karnaki P","given":"","non-dropping-particle":"","parse-names":false,"suffix":""},{"dropping-particle":"","family":"Katsas K.","given":"","non-dropping-particle":"","parse-names":false,"suffix":""}],"id":"ITEM-1","issued":{"date-parts":[["2018"]]},"title":"Pilot reports and final recommendations. Mig-healthCare","type":"article-journal"},"uris":["http://www.mendeley.com/documents/?uuid=be24c116-26be-4d18-97e1-22106e863a8a"]}],"mendeley":{"formattedCitation":"&lt;sup&gt;41&lt;/sup&gt;","plainTextFormattedCitation":"41","previouslyFormattedCitation":"&lt;sup&gt;41&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41</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2ECB33C8"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Karnaki</w:t>
            </w:r>
            <w:proofErr w:type="spellEnd"/>
            <w:r w:rsidRPr="0011179A">
              <w:rPr>
                <w:rFonts w:ascii="Calibri" w:eastAsia="Calibri" w:hAnsi="Calibri" w:cs="Calibri"/>
                <w:i/>
                <w:color w:val="000000"/>
              </w:rPr>
              <w:t>, 2018a</w:t>
            </w:r>
          </w:p>
        </w:tc>
        <w:tc>
          <w:tcPr>
            <w:tcW w:w="509" w:type="dxa"/>
            <w:tcBorders>
              <w:top w:val="single" w:sz="4" w:space="0" w:color="000000"/>
              <w:left w:val="single" w:sz="12" w:space="0" w:color="000000"/>
              <w:bottom w:val="single" w:sz="4" w:space="0" w:color="000000"/>
            </w:tcBorders>
            <w:shd w:val="clear" w:color="auto" w:fill="auto"/>
            <w:vAlign w:val="center"/>
          </w:tcPr>
          <w:p w14:paraId="448E517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22D89CA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6AFE524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9A7AD6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0B373F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2F74FC7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36060F0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217ABF42" w14:textId="77777777" w:rsidR="008D28BB" w:rsidRDefault="008D28BB" w:rsidP="000B3355">
            <w:pPr>
              <w:spacing w:after="0"/>
              <w:rPr>
                <w:rFonts w:ascii="Calibri" w:eastAsia="Calibri" w:hAnsi="Calibri" w:cs="Calibri"/>
                <w:color w:val="000000"/>
              </w:rPr>
            </w:pPr>
          </w:p>
        </w:tc>
        <w:tc>
          <w:tcPr>
            <w:tcW w:w="472" w:type="dxa"/>
            <w:tcBorders>
              <w:top w:val="single" w:sz="4" w:space="0" w:color="000000"/>
              <w:left w:val="single" w:sz="4" w:space="0" w:color="000000"/>
              <w:bottom w:val="single" w:sz="4" w:space="0" w:color="000000"/>
            </w:tcBorders>
            <w:shd w:val="clear" w:color="auto" w:fill="auto"/>
            <w:vAlign w:val="center"/>
          </w:tcPr>
          <w:p w14:paraId="7D08004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7003BB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076DB4EF"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61DC2FAE"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{"citationItems":[{"id":"ITEM-1","itemData":{"author":[{"dropping-particle":"","family":"Karnaki P","given":"","non-dropping-particle":"","parse-names":false,"suffix":""},{"dropping-particle":"","family":"Nikolakopoulos S","given":"","non-dropping-particle":"","parse-names":false,"suffix":""},{"dropping-particle":"","family":"Bradby H","given":"","non-dropping-particle":"","parse-names":false,"suffix":""},{"dropping-particle":"","family":"et al.","given":"","non-dropping-particle":"","parse-names":false,"suffix":""}],"id":"ITEM-1","issued":{"date-parts":[["2018"]]},"title":"Survey and interview findings. Physical and mental health profile of vulnerable migrants/refugees in the EU including needs, expectations and capacities of service providers. Mig-healthCare","type":"article-journal"},"uris":["http://www.mendeley.com/documents/?uuid=3c32d616-f09c-407b-bb0b-8c0b0741a359"]}],"mendeley":{"formattedCitation":"&lt;sup&gt;42&lt;/sup&gt;","plainTextFormattedCitation":"42","previouslyFormattedCitation":"&lt;sup&gt;42&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42</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571E122E"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Karnaki</w:t>
            </w:r>
            <w:proofErr w:type="spellEnd"/>
            <w:r w:rsidRPr="0011179A">
              <w:rPr>
                <w:rFonts w:ascii="Calibri" w:eastAsia="Calibri" w:hAnsi="Calibri" w:cs="Calibri"/>
                <w:i/>
                <w:color w:val="000000"/>
              </w:rPr>
              <w:t>, 2018b</w:t>
            </w:r>
          </w:p>
        </w:tc>
        <w:tc>
          <w:tcPr>
            <w:tcW w:w="509" w:type="dxa"/>
            <w:tcBorders>
              <w:top w:val="single" w:sz="4" w:space="0" w:color="000000"/>
              <w:left w:val="single" w:sz="12" w:space="0" w:color="000000"/>
              <w:bottom w:val="single" w:sz="4" w:space="0" w:color="000000"/>
            </w:tcBorders>
            <w:shd w:val="clear" w:color="auto" w:fill="auto"/>
            <w:vAlign w:val="center"/>
          </w:tcPr>
          <w:p w14:paraId="37AC651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BAF499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3EA834E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6032BC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2B28C2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26B712A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5854494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348BAE6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 </w:t>
            </w:r>
          </w:p>
        </w:tc>
        <w:tc>
          <w:tcPr>
            <w:tcW w:w="472" w:type="dxa"/>
            <w:tcBorders>
              <w:top w:val="single" w:sz="4" w:space="0" w:color="000000"/>
              <w:left w:val="single" w:sz="4" w:space="0" w:color="000000"/>
              <w:bottom w:val="single" w:sz="4" w:space="0" w:color="000000"/>
            </w:tcBorders>
            <w:shd w:val="clear" w:color="auto" w:fill="auto"/>
            <w:vAlign w:val="center"/>
          </w:tcPr>
          <w:p w14:paraId="6DAEE3E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69694AF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2EC90846"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16C2E814"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10.3399/BJGP.2021.0028","ISSN":"0960-1643","author":[{"dropping-particle":"","family":"Knights","given":"Felicity","non-dropping-particle":"","parse-names":false,"suffix":""},{"dropping-particle":"","family":"Carter","given":"Jessica","non-dropping-particle":"","parse-names":false,"suffix":""},{"dropping-particle":"","family":"Deal","given":"Anna","non-dropping-particle":"","parse-names":false,"suffix":""},{"dropping-particle":"","family":"Crawshaw","given":"Alison F","non-dropping-particle":"","parse-names":false,"suffix":""},{"dropping-particle":"","family":"Hayward","given":"Sally E","non-dropping-particle":"","parse-names":false,"suffix":""},{"dropping-particle":"","family":"Jones","given":"Lucinda","non-dropping-particle":"","parse-names":false,"suffix":""},{"dropping-particle":"","family":"Hargreaves","given":"Sally","non-dropping-particle":"","parse-names":false,"suffix":""}],"container-title":"British Journal of General Practice","id":"ITEM-1","issue":"709","issued":{"date-parts":[["2021","8"]]},"page":"e583-e595","title":"Impact of COVID-19 on migrants’ access to primary care and implications for vaccine roll-out: a national qualitative study","type":"article-journal","volume":"71"},"uris":["http://www.mendeley.com/documents/?uuid=a38d9af9-6f8c-42c8-b797-665c48df6a3e"]}],"mendeley":{"formattedCitation":"&lt;sup&gt;43&lt;/sup&gt;","plainTextFormattedCitation":"43","previouslyFormattedCitation":"&lt;sup&gt;43&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43</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E4E0408"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Knights, 2021</w:t>
            </w:r>
          </w:p>
        </w:tc>
        <w:tc>
          <w:tcPr>
            <w:tcW w:w="509" w:type="dxa"/>
            <w:tcBorders>
              <w:top w:val="single" w:sz="4" w:space="0" w:color="000000"/>
              <w:left w:val="single" w:sz="12" w:space="0" w:color="000000"/>
              <w:bottom w:val="single" w:sz="4" w:space="0" w:color="000000"/>
            </w:tcBorders>
            <w:shd w:val="clear" w:color="auto" w:fill="auto"/>
            <w:vAlign w:val="center"/>
          </w:tcPr>
          <w:p w14:paraId="21FD8CA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709FC8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75286A7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2A88C79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5C5D076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77F0D7D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6D948D5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76FF651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ED755B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6600264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2797A324"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714F2BC9"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10.1080/21645515.2018.1445455","ISSN":"2164-5515","author":[{"dropping-particle":"","family":"Krishnaswamy","given":"Sushena","non-dropping-particle":"","parse-names":false,"suffix":""},{"dropping-particle":"","family":"Cheng","given":"Allen C.","non-dropping-particle":"","parse-names":false,"suffix":""},{"dropping-particle":"","family":"Wallace","given":"Euan M.","non-dropping-particle":"","parse-names":false,"suffix":""},{"dropping-particle":"","family":"Buttery","given":"Jim","non-dropping-particle":"","parse-names":false,"suffix":""},{"dropping-particle":"","family":"Giles","given":"Michelle L.","non-dropping-particle":"","parse-names":false,"suffix":""}],"container-title":"Human Vaccines &amp; Immunotherapeutics","id":"ITEM-1","issue":"7","issued":{"date-parts":[["2018","7","3"]]},"page":"1591-1598","title":"Understanding the barriers to uptake of antenatal vaccination by women from culturally and linguistically diverse backgrounds: A cross-sectional study","type":"article-journal","volume":"14"},"uris":["http://www.mendeley.com/documents/?uuid=299d1d8d-62d5-4ed4-b672-5341d3086017"]}],"mendeley":{"formattedCitation":"&lt;sup&gt;44&lt;/sup&gt;","plainTextFormattedCitation":"44","previouslyFormattedCitation":"&lt;sup&gt;44&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44</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54FAD5E"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Krishnaswamy, 2018</w:t>
            </w:r>
          </w:p>
        </w:tc>
        <w:tc>
          <w:tcPr>
            <w:tcW w:w="509" w:type="dxa"/>
            <w:tcBorders>
              <w:top w:val="single" w:sz="4" w:space="0" w:color="000000"/>
              <w:left w:val="single" w:sz="12" w:space="0" w:color="000000"/>
              <w:bottom w:val="single" w:sz="4" w:space="0" w:color="000000"/>
            </w:tcBorders>
            <w:shd w:val="clear" w:color="auto" w:fill="auto"/>
            <w:vAlign w:val="center"/>
          </w:tcPr>
          <w:p w14:paraId="5CBA9FA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7E8AAAF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8CDD0E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7AD2E0B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0702AC7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0C9DF8C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235D33E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499CB6F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1C24660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B6B89F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204F04F9"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7F5A6594"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10.1016/j.vaccine.2017.08.002","ISSN":"0264410X","author":[{"dropping-particle":"","family":"Mahimbo","given":"A.","non-dropping-particle":"","parse-names":false,"suffix":""},{"dropping-particle":"","family":"Seale","given":"H.","non-dropping-particle":"","parse-names":false,"suffix":""},{"dropping-particle":"","family":"Smith","given":"M.","non-dropping-particle":"","parse-names":false,"suffix":""},{"dropping-particle":"","family":"Heywood","given":"A.","non-dropping-particle":"","parse-names":false,"suffix":""}],"container-title":"Vaccine","id":"ITEM-1","issue":"38","issued":{"date-parts":[["2017","9"]]},"page":"5148-5155","title":"Challenges in immunisation service delivery for refugees in Australia: A health system perspective","type":"article-journal","volume":"35"},"uris":["http://www.mendeley.com/documents/?uuid=3dea2810-9bbe-4190-9872-ea94db877ba9"]}],"mendeley":{"formattedCitation":"&lt;sup&gt;45&lt;/sup&gt;","plainTextFormattedCitation":"45","previouslyFormattedCitation":"&lt;sup&gt;45&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45</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9F7E63C"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Mahimbo</w:t>
            </w:r>
            <w:proofErr w:type="spellEnd"/>
            <w:r w:rsidRPr="0011179A">
              <w:rPr>
                <w:rFonts w:ascii="Calibri" w:eastAsia="Calibri" w:hAnsi="Calibri" w:cs="Calibri"/>
                <w:i/>
                <w:color w:val="000000"/>
              </w:rPr>
              <w:t>, 2017</w:t>
            </w:r>
          </w:p>
        </w:tc>
        <w:tc>
          <w:tcPr>
            <w:tcW w:w="509" w:type="dxa"/>
            <w:tcBorders>
              <w:top w:val="single" w:sz="4" w:space="0" w:color="000000"/>
              <w:left w:val="single" w:sz="12" w:space="0" w:color="000000"/>
              <w:bottom w:val="single" w:sz="4" w:space="0" w:color="000000"/>
            </w:tcBorders>
            <w:shd w:val="clear" w:color="auto" w:fill="auto"/>
            <w:vAlign w:val="center"/>
          </w:tcPr>
          <w:p w14:paraId="4648753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4C5D4F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1488BA1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C58B9F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2E2DA8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63E61D7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0E04854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5E7A50C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1579EDE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1A7E02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16F53976"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127E7EE8"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10.1007/s10903-018-0709-6","ISSN":"1557-1912","author":[{"dropping-particle":"","family":"McComb","given":"Erin","non-dropping-particle":"","parse-names":false,"suffix":""},{"dropping-particle":"","family":"Ramsden","given":"Vivian","non-dropping-particle":"","parse-names":false,"suffix":""},{"dropping-particle":"","family":"Olatunbosun","given":"Olufemi","non-dropping-particle":"","parse-names":false,"suffix":""},{"dropping-particle":"","family":"Williams-Roberts","given":"Hazel","non-dropping-particle":"","parse-names":false,"suffix":""}],"container-title":"Journal of Immigrant and Minority Health","id":"ITEM-1","issue":"6","issued":{"date-parts":[["2018","12","14"]]},"page":"1424-1428","title":"Knowledge, Attitudes and Barriers to Human Papillomavirus (HPV) Vaccine Uptake Among an Immigrant and Refugee Catch-Up Group in a Western Canadian Province","type":"article-journal","volume":"20"},"uris":["http://www.mendeley.com/documents/?uuid=0a0fe292-014e-4622-85d4-a47504c37209"]}],"mendeley":{"formattedCitation":"&lt;sup&gt;46&lt;/sup&gt;","plainTextFormattedCitation":"46","previouslyFormattedCitation":"&lt;sup&gt;46&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46</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9D73CF9"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McComb</w:t>
            </w:r>
            <w:proofErr w:type="spellEnd"/>
            <w:r w:rsidRPr="0011179A">
              <w:rPr>
                <w:rFonts w:ascii="Calibri" w:eastAsia="Calibri" w:hAnsi="Calibri" w:cs="Calibri"/>
                <w:i/>
                <w:color w:val="000000"/>
              </w:rPr>
              <w:t>, 2018</w:t>
            </w:r>
          </w:p>
        </w:tc>
        <w:tc>
          <w:tcPr>
            <w:tcW w:w="509" w:type="dxa"/>
            <w:tcBorders>
              <w:top w:val="single" w:sz="4" w:space="0" w:color="000000"/>
              <w:left w:val="single" w:sz="12" w:space="0" w:color="000000"/>
              <w:bottom w:val="single" w:sz="4" w:space="0" w:color="000000"/>
            </w:tcBorders>
            <w:shd w:val="clear" w:color="auto" w:fill="auto"/>
            <w:vAlign w:val="center"/>
          </w:tcPr>
          <w:p w14:paraId="714ADE8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046EC5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1BE5B66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692428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40E79E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7A6846D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0D73C7A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2DC042F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3D6C98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21FD8C1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rsidRPr="007D4BDC" w14:paraId="761843F1"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58AA202F" w14:textId="77777777" w:rsidR="008D28BB" w:rsidRPr="0011179A" w:rsidRDefault="008D28BB" w:rsidP="000B3355">
            <w:pPr>
              <w:spacing w:after="0"/>
              <w:jc w:val="center"/>
              <w:rPr>
                <w:rFonts w:ascii="Calibri" w:eastAsia="Calibri" w:hAnsi="Calibri" w:cs="Calibri"/>
                <w:i/>
                <w:color w:val="000000"/>
                <w:lang w:val="it-IT"/>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{"citationItems":[{"id":"ITEM-1","itemData":{"DOI":"10.2807/1560-7917.ES.2019.24.27.1800326","ISSN":"1560-7917","abstract":"After the 2016 Balkan route border closures, vaccination of refugee children in Greece was mainly performed by non-governmental organisations. Activities varied between camps, resulting in heterogeneity of vaccination coverage (VC). In April 2017, the European programme ‘PHILOS - Emergency health response to refugee crisis’ took over vaccination coordination. Interventions were planned for the first time for refugee children in the community and unaccompanied minors at safe zones. From April 2017–April 2018, 57,615 vaccinations were performed against measles-mumps-rubella (MMR) (21,031), diphtheria-tetanus-pertussis (7,341), poliomyelitis (7,652), pneumococcal disease (5,938), Haemophilus influenzae type b (7,179) and hepatitis B (8,474). In April 2018, the vaccination status of children at camps (reception and identification centres and community facilities such as hostels/hotels were excluded) was recorded and VC for each disease, stratified by dose, nationality and camp size, was calculated. More than 80% of the children received the first MMR dose, with VC dropping to 45% for the second dose. For all other vaccines, VC was &lt; 50% for the first dose in children aged 0–4 years and &lt; 25% for the second dose. Despite challenges, PHILOS improved planning and monitoring of vaccination activities; however, further efforts towards improving VC in refugee children are needed.","author":[{"dropping-particle":"","family":"Mellou","given":"Kassiani","non-dropping-particle":"","parse-names":false,"suffix":""},{"dropping-particle":"","family":"Silvestros","given":"Chrysovalantis","non-dropping-particle":"","parse-names":false,"suffix":""},{"dropping-particle":"","family":"Saranti-Papasaranti","given":"Eirini","non-dropping-particle":"","parse-names":false,"suffix":""},{"dropping-particle":"","family":"Koustenis","given":"Athanasios","non-dropping-particle":"","parse-names":false,"suffix":""},{"dropping-particle":"","family":"Pavlopoulou","given":"Ioanna D.","non-dropping-particle":"","parse-names":false,"suffix":""},{"dropping-particle":"","family":"Georgakopoulou","given":"Theano","non-dropping-particle":"","parse-names":false,"suffix":""},{"dropping-particle":"","family":"Botsi","given":"Chryssoula","non-dropping-particle":"","parse-names":false,"suffix":""},{"dropping-particle":"","family":"Terzidis","given":"Agapios","non-dropping-particle":"","parse-names":false,"suffix":""}],"container-title":"Eurosurveillance","id":"ITEM-1","issue":"27","issued":{"date-parts":[["2019","7","4"]]},"title":"Increasing childhood vaccination coverage of the refugee and migrant population in Greece through the European programme PHILOS, April 2017 to April 2018","type":"article-journal","volume":"24"},"uris":["http://www.mendeley.com/documents/?uuid=adca71a2-762e-4b66-b28f-d94d0c9bd546"]}],"mendeley":{"formattedCitation":"&lt;sup&gt;47&lt;/sup&gt;","plainTextFormattedCitation":"47","previouslyFormattedCitation":"&lt;sup&gt;47&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lang w:val="it-IT"/>
              </w:rPr>
              <w:t>47</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1A18D62" w14:textId="77777777" w:rsidR="008D28BB" w:rsidRPr="0011179A" w:rsidRDefault="008D28BB" w:rsidP="000B3355">
            <w:pPr>
              <w:spacing w:after="0"/>
              <w:rPr>
                <w:rFonts w:ascii="Calibri" w:eastAsia="Calibri" w:hAnsi="Calibri" w:cs="Calibri"/>
                <w:i/>
                <w:color w:val="000000"/>
                <w:lang w:val="it-IT"/>
              </w:rPr>
            </w:pPr>
            <w:proofErr w:type="spellStart"/>
            <w:r w:rsidRPr="0011179A">
              <w:rPr>
                <w:rFonts w:ascii="Calibri" w:eastAsia="Calibri" w:hAnsi="Calibri" w:cs="Calibri"/>
                <w:i/>
                <w:color w:val="000000"/>
                <w:lang w:val="it-IT"/>
              </w:rPr>
              <w:t>Mellou</w:t>
            </w:r>
            <w:proofErr w:type="spellEnd"/>
            <w:r w:rsidRPr="0011179A">
              <w:rPr>
                <w:rFonts w:ascii="Calibri" w:eastAsia="Calibri" w:hAnsi="Calibri" w:cs="Calibri"/>
                <w:i/>
                <w:color w:val="000000"/>
                <w:lang w:val="it-IT"/>
              </w:rPr>
              <w:t>, 2019</w:t>
            </w:r>
          </w:p>
        </w:tc>
        <w:tc>
          <w:tcPr>
            <w:tcW w:w="509" w:type="dxa"/>
            <w:tcBorders>
              <w:top w:val="single" w:sz="4" w:space="0" w:color="000000"/>
              <w:left w:val="single" w:sz="12" w:space="0" w:color="000000"/>
              <w:bottom w:val="single" w:sz="4" w:space="0" w:color="000000"/>
            </w:tcBorders>
            <w:shd w:val="clear" w:color="auto" w:fill="auto"/>
            <w:vAlign w:val="center"/>
          </w:tcPr>
          <w:p w14:paraId="7DB9A810"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5671683F"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57B90B3B"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24" w:type="dxa"/>
            <w:tcBorders>
              <w:top w:val="single" w:sz="4" w:space="0" w:color="000000"/>
              <w:bottom w:val="single" w:sz="4" w:space="0" w:color="000000"/>
              <w:right w:val="single" w:sz="4" w:space="0" w:color="000000"/>
            </w:tcBorders>
            <w:shd w:val="clear" w:color="auto" w:fill="auto"/>
            <w:vAlign w:val="center"/>
          </w:tcPr>
          <w:p w14:paraId="70F0C82C"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603C35D8"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47" w:type="dxa"/>
            <w:tcBorders>
              <w:top w:val="single" w:sz="4" w:space="0" w:color="000000"/>
              <w:bottom w:val="single" w:sz="4" w:space="0" w:color="000000"/>
              <w:right w:val="single" w:sz="4" w:space="0" w:color="000000"/>
            </w:tcBorders>
            <w:shd w:val="clear" w:color="auto" w:fill="auto"/>
            <w:vAlign w:val="center"/>
          </w:tcPr>
          <w:p w14:paraId="00EA9509"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62" w:type="dxa"/>
            <w:tcBorders>
              <w:top w:val="single" w:sz="4" w:space="0" w:color="000000"/>
              <w:left w:val="single" w:sz="4" w:space="0" w:color="000000"/>
              <w:bottom w:val="single" w:sz="4" w:space="0" w:color="000000"/>
            </w:tcBorders>
            <w:shd w:val="clear" w:color="auto" w:fill="auto"/>
            <w:vAlign w:val="center"/>
          </w:tcPr>
          <w:p w14:paraId="42642D85"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657" w:type="dxa"/>
            <w:tcBorders>
              <w:top w:val="single" w:sz="4" w:space="0" w:color="000000"/>
              <w:bottom w:val="single" w:sz="4" w:space="0" w:color="000000"/>
              <w:right w:val="single" w:sz="4" w:space="0" w:color="000000"/>
            </w:tcBorders>
            <w:shd w:val="clear" w:color="auto" w:fill="auto"/>
            <w:vAlign w:val="center"/>
          </w:tcPr>
          <w:p w14:paraId="18332A73"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472" w:type="dxa"/>
            <w:tcBorders>
              <w:top w:val="single" w:sz="4" w:space="0" w:color="000000"/>
              <w:left w:val="single" w:sz="4" w:space="0" w:color="000000"/>
              <w:bottom w:val="single" w:sz="4" w:space="0" w:color="000000"/>
            </w:tcBorders>
            <w:shd w:val="clear" w:color="auto" w:fill="auto"/>
            <w:vAlign w:val="center"/>
          </w:tcPr>
          <w:p w14:paraId="7DF048A1"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39" w:type="dxa"/>
            <w:tcBorders>
              <w:top w:val="single" w:sz="4" w:space="0" w:color="000000"/>
              <w:bottom w:val="single" w:sz="4" w:space="0" w:color="000000"/>
              <w:right w:val="nil"/>
            </w:tcBorders>
            <w:shd w:val="clear" w:color="auto" w:fill="auto"/>
            <w:vAlign w:val="center"/>
          </w:tcPr>
          <w:p w14:paraId="061F33F0"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r>
      <w:tr w:rsidR="008D28BB" w:rsidRPr="007D4BDC" w14:paraId="36F4E1A8"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1BF378E0" w14:textId="77777777" w:rsidR="008D28BB" w:rsidRPr="0011179A" w:rsidRDefault="008D28BB" w:rsidP="000B3355">
            <w:pPr>
              <w:spacing w:after="0"/>
              <w:jc w:val="center"/>
              <w:rPr>
                <w:rFonts w:ascii="Calibri" w:eastAsia="Calibri" w:hAnsi="Calibri" w:cs="Calibri"/>
                <w:i/>
                <w:color w:val="000000"/>
                <w:lang w:val="it-IT"/>
              </w:rPr>
            </w:pPr>
            <w:r w:rsidRPr="0011179A">
              <w:rPr>
                <w:rFonts w:ascii="Calibri" w:eastAsia="Calibri" w:hAnsi="Calibri" w:cs="Calibri"/>
                <w:i/>
                <w:color w:val="000000"/>
              </w:rPr>
              <w:fldChar w:fldCharType="begin" w:fldLock="1"/>
            </w:r>
            <w:r w:rsidRPr="0011179A">
              <w:rPr>
                <w:rFonts w:ascii="Calibri" w:eastAsia="Calibri" w:hAnsi="Calibri" w:cs="Calibri"/>
                <w:i/>
                <w:color w:val="000000"/>
                <w:lang w:val="it-IT"/>
              </w:rPr>
              <w:instrText>ADDIN CSL_CITATION {"citationItems":[{"id":"ITEM-1","itemData":{"DOI":"10.1080/20477724.2017.1281374","ISSN":"2047-7724","author":[{"dropping-particle":"","family":"Mipatrini","given":"Daniele","non-dropping-particle":"","parse-names":false,"suffix":""},{"dropping-particle":"","family":"Stefanelli","given":"Paola","non-dropping-particle":"","parse-names":false,"suffix":""},{"dropping-particle":"","family":"Severoni","given":"Santino","non-dropping-particle":"","parse-names":false,"suffix":""},{"dropping-particle":"","family":"Rezza","given":"Giovanni","non-dropping-particle":"","parse-names":false,"suffix":""}],"container-title":"Pathogens and Global Health","id":"ITEM-1","issue":"2","issued":{"date-parts":[["2017","2","17"]]},"page":"59-68","title":"Vaccinations in migrants and refugees: a challenge for European health systems. A systematic review of current scientific evidence","type":"article-journal","volume":"111"},"uris":["http://www.mendeley.com/documents/?uuid=7431eb5b-0842-4247-bbc1-d638adec8e44"]}],"mendeley":{"formattedCitation":"&lt;sup&gt;48&lt;/sup&gt;","plainTextFormattedCitation":"48","previouslyFormattedCitation":"&lt;sup&gt;48&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lang w:val="it-IT"/>
              </w:rPr>
              <w:t>48</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670FAD2" w14:textId="77777777" w:rsidR="008D28BB" w:rsidRPr="0011179A" w:rsidRDefault="008D28BB" w:rsidP="000B3355">
            <w:pPr>
              <w:spacing w:after="0"/>
              <w:rPr>
                <w:rFonts w:ascii="Calibri" w:eastAsia="Calibri" w:hAnsi="Calibri" w:cs="Calibri"/>
                <w:i/>
                <w:color w:val="000000"/>
                <w:lang w:val="it-IT"/>
              </w:rPr>
            </w:pPr>
            <w:proofErr w:type="spellStart"/>
            <w:r w:rsidRPr="0011179A">
              <w:rPr>
                <w:rFonts w:ascii="Calibri" w:eastAsia="Calibri" w:hAnsi="Calibri" w:cs="Calibri"/>
                <w:i/>
                <w:color w:val="000000"/>
                <w:lang w:val="it-IT"/>
              </w:rPr>
              <w:t>Mipatrini</w:t>
            </w:r>
            <w:proofErr w:type="spellEnd"/>
            <w:r w:rsidRPr="0011179A">
              <w:rPr>
                <w:rFonts w:ascii="Calibri" w:eastAsia="Calibri" w:hAnsi="Calibri" w:cs="Calibri"/>
                <w:i/>
                <w:color w:val="000000"/>
                <w:lang w:val="it-IT"/>
              </w:rPr>
              <w:t>, 2017</w:t>
            </w:r>
          </w:p>
        </w:tc>
        <w:tc>
          <w:tcPr>
            <w:tcW w:w="509" w:type="dxa"/>
            <w:tcBorders>
              <w:top w:val="single" w:sz="4" w:space="0" w:color="000000"/>
              <w:left w:val="single" w:sz="12" w:space="0" w:color="000000"/>
              <w:bottom w:val="single" w:sz="4" w:space="0" w:color="000000"/>
            </w:tcBorders>
            <w:shd w:val="clear" w:color="auto" w:fill="auto"/>
            <w:vAlign w:val="center"/>
          </w:tcPr>
          <w:p w14:paraId="17533524"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6E2A5A4D"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69D72CF6"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24" w:type="dxa"/>
            <w:tcBorders>
              <w:top w:val="single" w:sz="4" w:space="0" w:color="000000"/>
              <w:bottom w:val="single" w:sz="4" w:space="0" w:color="000000"/>
              <w:right w:val="single" w:sz="4" w:space="0" w:color="000000"/>
            </w:tcBorders>
            <w:shd w:val="clear" w:color="auto" w:fill="auto"/>
            <w:vAlign w:val="center"/>
          </w:tcPr>
          <w:p w14:paraId="7EE4D645"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2BFD0D67"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547" w:type="dxa"/>
            <w:tcBorders>
              <w:top w:val="single" w:sz="4" w:space="0" w:color="000000"/>
              <w:bottom w:val="single" w:sz="4" w:space="0" w:color="000000"/>
              <w:right w:val="single" w:sz="4" w:space="0" w:color="000000"/>
            </w:tcBorders>
            <w:shd w:val="clear" w:color="auto" w:fill="auto"/>
            <w:vAlign w:val="center"/>
          </w:tcPr>
          <w:p w14:paraId="25F7F778"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562" w:type="dxa"/>
            <w:tcBorders>
              <w:top w:val="single" w:sz="4" w:space="0" w:color="000000"/>
              <w:left w:val="single" w:sz="4" w:space="0" w:color="000000"/>
              <w:bottom w:val="single" w:sz="4" w:space="0" w:color="000000"/>
            </w:tcBorders>
            <w:shd w:val="clear" w:color="auto" w:fill="auto"/>
            <w:vAlign w:val="center"/>
          </w:tcPr>
          <w:p w14:paraId="34DD8246"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657" w:type="dxa"/>
            <w:tcBorders>
              <w:top w:val="single" w:sz="4" w:space="0" w:color="000000"/>
              <w:bottom w:val="single" w:sz="4" w:space="0" w:color="000000"/>
              <w:right w:val="single" w:sz="4" w:space="0" w:color="000000"/>
            </w:tcBorders>
            <w:shd w:val="clear" w:color="auto" w:fill="auto"/>
            <w:vAlign w:val="center"/>
          </w:tcPr>
          <w:p w14:paraId="30DB7C71"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472" w:type="dxa"/>
            <w:tcBorders>
              <w:top w:val="single" w:sz="4" w:space="0" w:color="000000"/>
              <w:left w:val="single" w:sz="4" w:space="0" w:color="000000"/>
              <w:bottom w:val="single" w:sz="4" w:space="0" w:color="000000"/>
            </w:tcBorders>
            <w:shd w:val="clear" w:color="auto" w:fill="auto"/>
            <w:vAlign w:val="center"/>
          </w:tcPr>
          <w:p w14:paraId="6F41B9B0"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39" w:type="dxa"/>
            <w:tcBorders>
              <w:top w:val="single" w:sz="4" w:space="0" w:color="000000"/>
              <w:bottom w:val="single" w:sz="4" w:space="0" w:color="000000"/>
              <w:right w:val="nil"/>
            </w:tcBorders>
            <w:shd w:val="clear" w:color="auto" w:fill="auto"/>
            <w:vAlign w:val="center"/>
          </w:tcPr>
          <w:p w14:paraId="477D8F72"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r>
      <w:tr w:rsidR="008D28BB" w14:paraId="12FAF8E2"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6B81AA51"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lang w:val="it-IT"/>
              </w:rPr>
              <w:instrText>ADDIN CSL_CITATION {"citationItems":[{"id":"ITEM-1","itemData":{"DOI":"10.1016/j.tmaid.2020.101715","ISSN":"14778939","author":[{"dropping-particle":"","family":"Noori","given":"Teymur","non-dropping-particle":"","parse-names":false,"suffix":""},{"dropping-particle":"","family":"Hargreaves","given":"Sally","non-dropping-particle":"","parse-names":false,"suffix":""},{"dropping-particle":"","family":"Greenaway","given":"Christina","non-dropping-particle":"","parse-names":false,"suffix":""},{"dropping-particle":"","family":"Werf","given":"Marieke","non-dropping-particle":"van der","parse-names":false,"suffix":""},{"dropping-particle":"","family":"Driedger","given":"Matt","non-dropping-particle":"","parse-names":false,"suffix":""},{"dropping-particle":"","family":"Morton","given":"Rachael L.","non-dropping-particle":"","parse-names":false,"suffix":""},{"dropping-particle":"","family":"Hui","given":"Charles","non-dropping-particle":"","parse-names":false,"suffix":""},{"dropping-particle":"","family":"Requena-Mendez","given":"Ana","non-dropping-particle":"","parse-names":false,"suffix":""},{"dropping-particle":"","family":"Agbata","given":"Eric","non-dropping-particle":"","parse-names":false,"suffix":""},{"dropping-particle":"","family":"Myran","given":"Daniel T.","non-dropping-particle":"","parse-names":false,"suffix":""},{"dropping-particle":"","family":"Pareek","given":"Manish","non-dropping-particle":"","parse-names":false,"suffix":""},{"dropping-particle":"","family":"Campos-Matos","given":"Ines","non-dropping-particle":"","parse-names":false,"suffix":""},{"dropping-particle":"","family":"Nielsen","given":"Rikke Thoft","non-dropping-particle":"","parse-names":false,"suffix":""},{"dropping-particle":"","family":"Semenza","given":"Jan","non-dropping-particle":"","parse-names":false,"suffix":""},{"dropping-particle":"","family":"Nellums","given":"Laura B.","non-dropping-particle":"","parse-names":false,"suffix":""},{"dropping-particle":"","family":"Pottie","given":"Kevin","non-dropping-particle":"","parse-names":false,"suffix":""}],"container-title":"Travel Medicine and Infectious Disease","id":"ITEM-1","issued":{"date-parts":[["2021","1"]]},"page":"101715","title":"Strengthening screening for infectious diseases and vaccination among migrants in Europe: What is needed to close the implementation gaps?","type":"article-journal","volume":"39"},"uris":["http://www.mendeley.com/documents/?uuid=d471cb89-394d-41db-8536-a0e8e965cf4f"]}],"mendeley":{"formattedCitation":"&lt;sup&gt;49&lt;/sup&gt;","plainTextFormattedCitation":"49","previouslyFormattedCitation":"&lt;sup&gt;49&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49</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86FDFC8"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Noori, 2021</w:t>
            </w:r>
          </w:p>
        </w:tc>
        <w:tc>
          <w:tcPr>
            <w:tcW w:w="509" w:type="dxa"/>
            <w:tcBorders>
              <w:top w:val="single" w:sz="4" w:space="0" w:color="000000"/>
              <w:left w:val="single" w:sz="12" w:space="0" w:color="000000"/>
              <w:bottom w:val="single" w:sz="4" w:space="0" w:color="000000"/>
            </w:tcBorders>
            <w:shd w:val="clear" w:color="auto" w:fill="auto"/>
            <w:vAlign w:val="center"/>
          </w:tcPr>
          <w:p w14:paraId="26E8ED5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50E551A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4" w:space="0" w:color="000000"/>
            </w:tcBorders>
            <w:shd w:val="clear" w:color="auto" w:fill="auto"/>
            <w:vAlign w:val="center"/>
          </w:tcPr>
          <w:p w14:paraId="087B79D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03FD3F9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57C3BB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2A0BFBD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28C8C2C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38E4AF5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3828A50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39" w:type="dxa"/>
            <w:tcBorders>
              <w:top w:val="single" w:sz="4" w:space="0" w:color="000000"/>
              <w:bottom w:val="single" w:sz="4" w:space="0" w:color="000000"/>
              <w:right w:val="nil"/>
            </w:tcBorders>
            <w:shd w:val="clear" w:color="auto" w:fill="auto"/>
            <w:vAlign w:val="center"/>
          </w:tcPr>
          <w:p w14:paraId="0A4EFAD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r>
      <w:tr w:rsidR="008D28BB" w14:paraId="54925592"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412AAE99"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10.1007/s10900-019-00699-6","ISSN":"0094-5145","author":[{"dropping-particle":"","family":"Ortiz","given":"Elizabeth","non-dropping-particle":"","parse-names":false,"suffix":""},{"dropping-particle":"","family":"Scanlon","given":"Brighid","non-dropping-particle":"","parse-names":false,"suffix":""},{"dropping-particle":"","family":"Mullens","given":"Amy","non-dropping-particle":"","parse-names":false,"suffix":""},{"dropping-particle":"","family":"Durham","given":"Jo","non-dropping-particle":"","parse-names":false,"suffix":""}],"container-title":"Journal of Community Health","id":"ITEM-1","issue":"1","issued":{"date-parts":[["2020","2","22"]]},"page":"201-218","title":"Effectiveness of Interventions for Hepatitis B and C: A Systematic Review of Vaccination, Screening, Health Promotion and Linkage to Care Within Higher Income Countries","type":"article-journal","volume":"45"},"uris":["http://www.mendeley.com/documents/?uuid=44ea45b9-b5f2-4de3-abe0-7fe90e41055f"]}],"mendeley":{"formattedCitation":"&lt;sup&gt;50&lt;/sup&gt;","plainTextFormattedCitation":"50","previouslyFormattedCitation":"&lt;sup&gt;50&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50</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D78FBC6"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Ortiz, 2020</w:t>
            </w:r>
          </w:p>
        </w:tc>
        <w:tc>
          <w:tcPr>
            <w:tcW w:w="509" w:type="dxa"/>
            <w:tcBorders>
              <w:top w:val="single" w:sz="4" w:space="0" w:color="000000"/>
              <w:left w:val="single" w:sz="12" w:space="0" w:color="000000"/>
              <w:bottom w:val="single" w:sz="4" w:space="0" w:color="000000"/>
            </w:tcBorders>
            <w:shd w:val="clear" w:color="auto" w:fill="auto"/>
            <w:vAlign w:val="center"/>
          </w:tcPr>
          <w:p w14:paraId="455FACC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0273291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16FBAA4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4FBF25C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318390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03517CB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68296B8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180F73C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23D9D10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76346EF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5E8FD511"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0CE9997C"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10.1093/jtm/tax016","ISSN":"1195-1982","author":[{"dropping-particle":"","family":"Pavli","given":"Androula","non-dropping-particle":"","parse-names":false,"suffix":""},{"dropping-particle":"","family":"Maltezou","given":"Helena","non-dropping-particle":"","parse-names":false,"suffix":""}],"container-title":"Journal of Travel Medicine","id":"ITEM-1","issue":"4","issued":{"date-parts":[["2017","7","1"]]},"title":"Health problems of newly arrived migrants and refugees in Europe","type":"article-journal","volume":"24"},"uris":["http://www.mendeley.com/documents/?uuid=6e66b786-3a48-47c8-bdf7-91e8891f61e7"]}],"mendeley":{"formattedCitation":"&lt;sup&gt;51&lt;/sup&gt;","plainTextFormattedCitation":"51","previouslyFormattedCitation":"&lt;sup&gt;51&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51</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8B1DC8C"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Pavli, 2017</w:t>
            </w:r>
          </w:p>
        </w:tc>
        <w:tc>
          <w:tcPr>
            <w:tcW w:w="509" w:type="dxa"/>
            <w:tcBorders>
              <w:top w:val="single" w:sz="4" w:space="0" w:color="000000"/>
              <w:left w:val="single" w:sz="12" w:space="0" w:color="000000"/>
              <w:bottom w:val="single" w:sz="4" w:space="0" w:color="000000"/>
            </w:tcBorders>
            <w:shd w:val="clear" w:color="auto" w:fill="auto"/>
            <w:vAlign w:val="center"/>
          </w:tcPr>
          <w:p w14:paraId="5A66D10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356E089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4" w:space="0" w:color="000000"/>
            </w:tcBorders>
            <w:shd w:val="clear" w:color="auto" w:fill="auto"/>
            <w:vAlign w:val="center"/>
          </w:tcPr>
          <w:p w14:paraId="594C0C7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55868D3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25E35C7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1E5F9FB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557E2E4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64C33A7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30A759D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1F2EB98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62C8AC1F"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4EEDDE64"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10.1007/s00431-019-03485-7","ISSN":"0340-6199","author":[{"dropping-particle":"","family":"Perry","given":"Malorie","non-dropping-particle":"","parse-names":false,"suffix":""},{"dropping-particle":"","family":"Townson","given":"Molly","non-dropping-particle":"","parse-names":false,"suffix":""},{"dropping-particle":"","family":"Cottrell","given":"Simon","non-dropping-particle":"","parse-names":false,"suffix":""},{"dropping-particle":"","family":"Fagan","given":"Lucy","non-dropping-particle":"","parse-names":false,"suffix":""},{"dropping-particle":"","family":"Edwards","given":"Jonathan","non-dropping-particle":"","parse-names":false,"suffix":""},{"dropping-particle":"","family":"Saunders","given":"Jean","non-dropping-particle":"","parse-names":false,"suffix":""},{"dropping-particle":"","family":"O’Hare","given":"Roisin","non-dropping-particle":"","parse-names":false,"suffix":""},{"dropping-particle":"","family":"Richardson","given":"Gill","non-dropping-particle":"","parse-names":false,"suffix":""}],"container-title":"European Journal of Pediatrics","id":"ITEM-1","issue":"1","issued":{"date-parts":[["2020","1","7"]]},"page":"171-175","title":"Inequalities in vaccination coverage and differences in follow-up procedures for asylum-seeking children arriving in Wales, UK","type":"article-journal","volume":"179"},"uris":["http://www.mendeley.com/documents/?uuid=d6d819f0-5884-492d-a848-f51fa4c0135c"]}],"mendeley":{"formattedCitation":"&lt;sup&gt;52&lt;/sup&gt;","plainTextFormattedCitation":"52","previouslyFormattedCitation":"&lt;sup&gt;52&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52</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6798DC7"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Perry, 2020</w:t>
            </w:r>
          </w:p>
        </w:tc>
        <w:tc>
          <w:tcPr>
            <w:tcW w:w="509" w:type="dxa"/>
            <w:tcBorders>
              <w:top w:val="single" w:sz="4" w:space="0" w:color="000000"/>
              <w:left w:val="single" w:sz="12" w:space="0" w:color="000000"/>
              <w:bottom w:val="single" w:sz="4" w:space="0" w:color="000000"/>
            </w:tcBorders>
            <w:shd w:val="clear" w:color="auto" w:fill="auto"/>
            <w:vAlign w:val="center"/>
          </w:tcPr>
          <w:p w14:paraId="5040D0E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19AFDF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120CE01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12FDAE8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91CE7D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54F67CB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0F1C5ED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4E7015F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D07316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57FEBDE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6C67B51D"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4780139A"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{"citationItems":[{"id":"ITEM-1","itemData":{"URL":"https://picum.org/COVID-19-vaccines-undocumented-migrants-greece/","author":[{"dropping-particle":"","family":"PICUM (Platform for International Cooperation on Undocumented Migrants).","given":"","non-dropping-particle":"","parse-names":false,"suffix":""}],"id":"ITEM-1","issued":{"date-parts":[["2021"]]},"title":"The COVID-19 vaccines &amp; undocumented migrants in Greece","type":"webpage"},"uris":["http://www.mendeley.com/documents/?uuid=23a027bd-3ff3-4b51-abcd-0eab66aff6d8"]}],"mendeley":{"formattedCitation":"&lt;sup&gt;53&lt;/sup&gt;","plainTextFormattedCitation":"53","previouslyFormattedCitation":"&lt;sup&gt;53&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53</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77CDBD5"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PICUM, 2021</w:t>
            </w:r>
          </w:p>
        </w:tc>
        <w:tc>
          <w:tcPr>
            <w:tcW w:w="509" w:type="dxa"/>
            <w:tcBorders>
              <w:top w:val="single" w:sz="4" w:space="0" w:color="000000"/>
              <w:left w:val="single" w:sz="12" w:space="0" w:color="000000"/>
              <w:bottom w:val="single" w:sz="4" w:space="0" w:color="000000"/>
            </w:tcBorders>
            <w:shd w:val="clear" w:color="auto" w:fill="auto"/>
            <w:vAlign w:val="center"/>
          </w:tcPr>
          <w:p w14:paraId="2C0A288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1CC1E56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558ADE9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4B89FA7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75B204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4DF2AE6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721927A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4A138FD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B81A79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6806EAB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0C9B36F0"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619C07AE"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10.1016/j.vaccine.2017.05.079","ISSN":"0264410X","author":[{"dropping-particle":"","family":"Prymula","given":"Roman","non-dropping-particle":"","parse-names":false,"suffix":""},{"dropping-particle":"","family":"Shaw","given":"Jana","non-dropping-particle":"","parse-names":false,"suffix":""},{"dropping-particle":"","family":"Chlibek","given":"Roman","non-dropping-particle":"","parse-names":false,"suffix":""},{"dropping-particle":"","family":"Urbancikova","given":"Ingrid","non-dropping-particle":"","parse-names":false,"suffix":""},{"dropping-particle":"","family":"Prymulova","given":"Karolina","non-dropping-particle":"","parse-names":false,"suffix":""}],"container-title":"Vaccine","id":"ITEM-1","issue":"36","issued":{"date-parts":[["2018","8"]]},"page":"5385-5390","title":"Vaccination in newly arrived immigrants to the European Union","type":"article-journal","volume":"36"},"uris":["http://www.mendeley.com/documents/?uuid=afbcf83c-bd61-43c2-b2e2-03c61bce9840"]}],"mendeley":{"formattedCitation":"&lt;sup&gt;54&lt;/sup&gt;","plainTextFormattedCitation":"54","previouslyFormattedCitation":"&lt;sup&gt;54&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54</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39DF78A6"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Prymula</w:t>
            </w:r>
            <w:proofErr w:type="spellEnd"/>
            <w:r w:rsidRPr="0011179A">
              <w:rPr>
                <w:rFonts w:ascii="Calibri" w:eastAsia="Calibri" w:hAnsi="Calibri" w:cs="Calibri"/>
                <w:i/>
                <w:color w:val="000000"/>
              </w:rPr>
              <w:t xml:space="preserve"> 2018</w:t>
            </w:r>
          </w:p>
        </w:tc>
        <w:tc>
          <w:tcPr>
            <w:tcW w:w="509" w:type="dxa"/>
            <w:tcBorders>
              <w:top w:val="single" w:sz="4" w:space="0" w:color="000000"/>
              <w:left w:val="single" w:sz="12" w:space="0" w:color="000000"/>
              <w:bottom w:val="single" w:sz="4" w:space="0" w:color="000000"/>
            </w:tcBorders>
            <w:shd w:val="clear" w:color="auto" w:fill="auto"/>
            <w:vAlign w:val="center"/>
          </w:tcPr>
          <w:p w14:paraId="4D245B5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06D1B73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366E3D7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E39474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66FBC4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779752B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034E70D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734C6AF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55B10ED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492BE4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2ACAECA2"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39975A0C"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10.1007/978-3-658-30504-8_8","author":[{"dropping-particle":"","family":"Razum","given":"Oliver","non-dropping-particle":"","parse-names":false,"suffix":""},{"dropping-particle":"","family":"Brzoska","given":"Patrick","non-dropping-particle":"","parse-names":false,"suffix":""}],"container-title":"Gesundheit als gesamtgesellschaftliche Aufgabe","id":"ITEM-1","issued":{"date-parts":[["2020"]]},"page":"99-108","publisher":"Springer Fachmedien Wiesbaden","publisher-place":"Wiesbaden","title":"Einwanderung","type":"chapter"},"uris":["http://www.mendeley.com/documents/?uuid=1fb9e513-0d13-4597-b094-c001465b253d"]}],"mendeley":{"formattedCitation":"&lt;sup&gt;55&lt;/sup&gt;","plainTextFormattedCitation":"55","previouslyFormattedCitation":"&lt;sup&gt;55&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55</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E66556C"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Razum</w:t>
            </w:r>
            <w:proofErr w:type="spellEnd"/>
            <w:r w:rsidRPr="0011179A">
              <w:rPr>
                <w:rFonts w:ascii="Calibri" w:eastAsia="Calibri" w:hAnsi="Calibri" w:cs="Calibri"/>
                <w:i/>
                <w:color w:val="000000"/>
              </w:rPr>
              <w:t>, 2020</w:t>
            </w:r>
          </w:p>
        </w:tc>
        <w:tc>
          <w:tcPr>
            <w:tcW w:w="509" w:type="dxa"/>
            <w:tcBorders>
              <w:top w:val="single" w:sz="4" w:space="0" w:color="000000"/>
              <w:left w:val="single" w:sz="12" w:space="0" w:color="000000"/>
              <w:bottom w:val="single" w:sz="4" w:space="0" w:color="000000"/>
            </w:tcBorders>
            <w:shd w:val="clear" w:color="auto" w:fill="auto"/>
            <w:vAlign w:val="center"/>
          </w:tcPr>
          <w:p w14:paraId="36E812F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002D260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5F1914F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60461E9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D0FC34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60C30E0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35FED66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0C74D4F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919BDA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6B8D679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rsidRPr="0055595D" w14:paraId="4C371F86"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45E4DD4A" w14:textId="77777777" w:rsidR="008D28BB" w:rsidRPr="0011179A" w:rsidRDefault="008D28BB" w:rsidP="000B3355">
            <w:pPr>
              <w:spacing w:after="0"/>
              <w:jc w:val="center"/>
              <w:rPr>
                <w:rFonts w:ascii="Calibri" w:eastAsia="Calibri" w:hAnsi="Calibri" w:cs="Calibri"/>
                <w:i/>
              </w:rPr>
            </w:pPr>
            <w:r w:rsidRPr="0011179A">
              <w:rPr>
                <w:rFonts w:ascii="Calibri" w:eastAsia="Calibri" w:hAnsi="Calibri" w:cs="Calibri"/>
                <w:i/>
              </w:rPr>
              <w:fldChar w:fldCharType="begin" w:fldLock="1"/>
            </w:r>
            <w:r w:rsidRPr="0011179A">
              <w:rPr>
                <w:rFonts w:ascii="Calibri" w:eastAsia="Calibri" w:hAnsi="Calibri" w:cs="Calibri"/>
                <w:i/>
              </w:rPr>
              <w:instrText>ADDIN CSL_CITATION {"citationItems":[{"id":"ITEM-1","itemData":{"author":[{"dropping-particle":"","family":"Rechel B","given":"","non-dropping-particle":"","parse-names":false,"suffix":""},{"dropping-particle":"","family":"Priaulx J","given":"","non-dropping-particle":"","parse-names":false,"suffix":""},{"dropping-particle":"","family":"Richardson E","given":"","non-dropping-particle":"","parse-names":false,"suffix":""},{"dropping-particle":"","family":"McKee M.","given":"","non-dropping-particle":"","parse-names":false,"suffix":""}],"id":"ITEM-1","issued":{"date-parts":[["2019"]]},"title":"The organization and delivery of vaccination services in the European Union, European Journal of Public Health, 29, Issue Supplement_4, ckz185.375","type":"article-journal"},"uris":["http://www.mendeley.com/documents/?uuid=0d017abe-eed8-4113-a445-cf42fb98c775"]}],"mendeley":{"formattedCitation":"&lt;sup&gt;56&lt;/sup&gt;","plainTextFormattedCitation":"56","previouslyFormattedCitation":"&lt;sup&gt;56&lt;/sup&gt;"},"properties":{"noteIndex":0},"schema":"https://github.com/citation-style-language/schema/raw/master/csl-citation.json"}</w:instrText>
            </w:r>
            <w:r w:rsidRPr="0011179A">
              <w:rPr>
                <w:rFonts w:ascii="Calibri" w:eastAsia="Calibri" w:hAnsi="Calibri" w:cs="Calibri"/>
                <w:i/>
              </w:rPr>
              <w:fldChar w:fldCharType="separate"/>
            </w:r>
            <w:r w:rsidRPr="0011179A">
              <w:rPr>
                <w:rFonts w:ascii="Calibri" w:eastAsia="Calibri" w:hAnsi="Calibri" w:cs="Calibri"/>
                <w:noProof/>
                <w:vertAlign w:val="superscript"/>
              </w:rPr>
              <w:t>56</w:t>
            </w:r>
            <w:r w:rsidRPr="0011179A">
              <w:rPr>
                <w:rFonts w:ascii="Calibri" w:eastAsia="Calibri" w:hAnsi="Calibri" w:cs="Calibri"/>
                <w:i/>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80A42EF" w14:textId="77777777" w:rsidR="008D28BB" w:rsidRPr="0011179A" w:rsidRDefault="008D28BB" w:rsidP="000B3355">
            <w:pPr>
              <w:spacing w:after="0"/>
              <w:rPr>
                <w:rFonts w:ascii="Calibri" w:eastAsia="Calibri" w:hAnsi="Calibri" w:cs="Calibri"/>
                <w:i/>
              </w:rPr>
            </w:pPr>
            <w:proofErr w:type="spellStart"/>
            <w:r w:rsidRPr="0011179A">
              <w:rPr>
                <w:rFonts w:ascii="Calibri" w:eastAsia="Calibri" w:hAnsi="Calibri" w:cs="Calibri"/>
                <w:i/>
              </w:rPr>
              <w:t>Rechel</w:t>
            </w:r>
            <w:proofErr w:type="spellEnd"/>
            <w:r w:rsidRPr="0011179A">
              <w:rPr>
                <w:rFonts w:ascii="Calibri" w:eastAsia="Calibri" w:hAnsi="Calibri" w:cs="Calibri"/>
                <w:i/>
              </w:rPr>
              <w:t>, 2019</w:t>
            </w:r>
          </w:p>
        </w:tc>
        <w:tc>
          <w:tcPr>
            <w:tcW w:w="509" w:type="dxa"/>
            <w:tcBorders>
              <w:top w:val="single" w:sz="4" w:space="0" w:color="000000"/>
              <w:left w:val="single" w:sz="12" w:space="0" w:color="000000"/>
              <w:bottom w:val="single" w:sz="4" w:space="0" w:color="000000"/>
            </w:tcBorders>
            <w:shd w:val="clear" w:color="auto" w:fill="auto"/>
            <w:vAlign w:val="center"/>
          </w:tcPr>
          <w:p w14:paraId="3CB6CFF9" w14:textId="77777777" w:rsidR="008D28BB" w:rsidRPr="0055595D" w:rsidRDefault="008D28BB" w:rsidP="000B3355">
            <w:pPr>
              <w:spacing w:after="0"/>
              <w:jc w:val="right"/>
              <w:rPr>
                <w:rFonts w:ascii="Calibri" w:eastAsia="Calibri" w:hAnsi="Calibri" w:cs="Calibri"/>
              </w:rPr>
            </w:pPr>
            <w:r w:rsidRPr="0055595D">
              <w:rPr>
                <w:rFonts w:ascii="Calibri" w:eastAsia="Calibri" w:hAnsi="Calibri" w:cs="Calibri"/>
              </w:rPr>
              <w:t> </w:t>
            </w:r>
          </w:p>
        </w:tc>
        <w:tc>
          <w:tcPr>
            <w:tcW w:w="595" w:type="dxa"/>
            <w:tcBorders>
              <w:top w:val="single" w:sz="4" w:space="0" w:color="000000"/>
              <w:bottom w:val="single" w:sz="4" w:space="0" w:color="000000"/>
              <w:right w:val="single" w:sz="4" w:space="0" w:color="000000"/>
            </w:tcBorders>
            <w:shd w:val="clear" w:color="auto" w:fill="auto"/>
            <w:vAlign w:val="center"/>
          </w:tcPr>
          <w:p w14:paraId="4C5554C1" w14:textId="77777777" w:rsidR="008D28BB" w:rsidRPr="0055595D" w:rsidRDefault="008D28BB" w:rsidP="000B3355">
            <w:pPr>
              <w:spacing w:after="0"/>
              <w:rPr>
                <w:rFonts w:ascii="Calibri" w:eastAsia="Calibri" w:hAnsi="Calibri" w:cs="Calibri"/>
              </w:rPr>
            </w:pPr>
            <w:r w:rsidRPr="0055595D">
              <w:rPr>
                <w:rFonts w:ascii="Calibri" w:eastAsia="Calibri" w:hAnsi="Calibri" w:cs="Calibri"/>
              </w:rPr>
              <w:t> </w:t>
            </w:r>
          </w:p>
        </w:tc>
        <w:tc>
          <w:tcPr>
            <w:tcW w:w="535" w:type="dxa"/>
            <w:tcBorders>
              <w:top w:val="single" w:sz="4" w:space="0" w:color="000000"/>
              <w:left w:val="single" w:sz="4" w:space="0" w:color="000000"/>
              <w:bottom w:val="single" w:sz="4" w:space="0" w:color="000000"/>
            </w:tcBorders>
            <w:shd w:val="clear" w:color="auto" w:fill="auto"/>
          </w:tcPr>
          <w:p w14:paraId="00A14D07" w14:textId="77777777" w:rsidR="008D28BB" w:rsidRPr="0055595D" w:rsidRDefault="008D28BB" w:rsidP="000B3355">
            <w:pPr>
              <w:spacing w:after="0"/>
              <w:jc w:val="right"/>
              <w:rPr>
                <w:rFonts w:ascii="Calibri" w:eastAsia="Calibri" w:hAnsi="Calibri" w:cs="Calibri"/>
              </w:rPr>
            </w:pPr>
            <w:r w:rsidRPr="0055595D">
              <w:rPr>
                <w:rFonts w:ascii="Calibri" w:eastAsia="Calibri" w:hAnsi="Calibri" w:cs="Calibri"/>
              </w:rPr>
              <w:t>x</w:t>
            </w:r>
          </w:p>
        </w:tc>
        <w:tc>
          <w:tcPr>
            <w:tcW w:w="624" w:type="dxa"/>
            <w:tcBorders>
              <w:top w:val="single" w:sz="4" w:space="0" w:color="000000"/>
              <w:bottom w:val="single" w:sz="4" w:space="0" w:color="000000"/>
              <w:right w:val="single" w:sz="4" w:space="0" w:color="000000"/>
            </w:tcBorders>
            <w:shd w:val="clear" w:color="auto" w:fill="auto"/>
            <w:vAlign w:val="center"/>
          </w:tcPr>
          <w:p w14:paraId="4714C203" w14:textId="77777777" w:rsidR="008D28BB" w:rsidRPr="0055595D" w:rsidRDefault="008D28BB" w:rsidP="000B3355">
            <w:pPr>
              <w:spacing w:after="0"/>
              <w:rPr>
                <w:rFonts w:ascii="Calibri" w:eastAsia="Calibri" w:hAnsi="Calibri" w:cs="Calibri"/>
              </w:rPr>
            </w:pPr>
            <w:r w:rsidRPr="0055595D">
              <w:rPr>
                <w:rFonts w:ascii="Calibri" w:eastAsia="Calibri" w:hAnsi="Calibri" w:cs="Calibri"/>
              </w:rPr>
              <w:t> </w:t>
            </w:r>
          </w:p>
        </w:tc>
        <w:tc>
          <w:tcPr>
            <w:tcW w:w="472" w:type="dxa"/>
            <w:tcBorders>
              <w:top w:val="single" w:sz="4" w:space="0" w:color="000000"/>
              <w:left w:val="single" w:sz="4" w:space="0" w:color="000000"/>
              <w:bottom w:val="single" w:sz="4" w:space="0" w:color="000000"/>
            </w:tcBorders>
            <w:shd w:val="clear" w:color="auto" w:fill="auto"/>
            <w:vAlign w:val="center"/>
          </w:tcPr>
          <w:p w14:paraId="0263B6F9" w14:textId="77777777" w:rsidR="008D28BB" w:rsidRPr="0055595D" w:rsidRDefault="008D28BB" w:rsidP="000B3355">
            <w:pPr>
              <w:spacing w:after="0"/>
              <w:jc w:val="right"/>
              <w:rPr>
                <w:rFonts w:ascii="Calibri" w:eastAsia="Calibri" w:hAnsi="Calibri" w:cs="Calibri"/>
              </w:rPr>
            </w:pPr>
            <w:r w:rsidRPr="0055595D">
              <w:rPr>
                <w:rFonts w:ascii="Calibri" w:eastAsia="Calibri" w:hAnsi="Calibri" w:cs="Calibri"/>
              </w:rPr>
              <w:t>x</w:t>
            </w:r>
          </w:p>
        </w:tc>
        <w:tc>
          <w:tcPr>
            <w:tcW w:w="547" w:type="dxa"/>
            <w:tcBorders>
              <w:top w:val="single" w:sz="4" w:space="0" w:color="000000"/>
              <w:bottom w:val="single" w:sz="4" w:space="0" w:color="000000"/>
              <w:right w:val="single" w:sz="4" w:space="0" w:color="000000"/>
            </w:tcBorders>
            <w:shd w:val="clear" w:color="auto" w:fill="auto"/>
            <w:vAlign w:val="center"/>
          </w:tcPr>
          <w:p w14:paraId="466F3125" w14:textId="77777777" w:rsidR="008D28BB" w:rsidRPr="0055595D" w:rsidRDefault="008D28BB" w:rsidP="000B3355">
            <w:pPr>
              <w:spacing w:after="0"/>
              <w:rPr>
                <w:rFonts w:ascii="Calibri" w:eastAsia="Calibri" w:hAnsi="Calibri" w:cs="Calibri"/>
              </w:rPr>
            </w:pPr>
            <w:r w:rsidRPr="0055595D">
              <w:rPr>
                <w:rFonts w:ascii="Calibri" w:eastAsia="Calibri" w:hAnsi="Calibri" w:cs="Calibri"/>
              </w:rPr>
              <w:t>o </w:t>
            </w:r>
          </w:p>
        </w:tc>
        <w:tc>
          <w:tcPr>
            <w:tcW w:w="562" w:type="dxa"/>
            <w:tcBorders>
              <w:top w:val="single" w:sz="4" w:space="0" w:color="000000"/>
              <w:left w:val="single" w:sz="4" w:space="0" w:color="000000"/>
              <w:bottom w:val="single" w:sz="4" w:space="0" w:color="000000"/>
            </w:tcBorders>
            <w:shd w:val="clear" w:color="auto" w:fill="auto"/>
            <w:vAlign w:val="center"/>
          </w:tcPr>
          <w:p w14:paraId="32BD253F" w14:textId="77777777" w:rsidR="008D28BB" w:rsidRPr="0055595D" w:rsidRDefault="008D28BB" w:rsidP="000B3355">
            <w:pPr>
              <w:spacing w:after="0"/>
              <w:jc w:val="right"/>
              <w:rPr>
                <w:rFonts w:ascii="Calibri" w:eastAsia="Calibri" w:hAnsi="Calibri" w:cs="Calibri"/>
              </w:rPr>
            </w:pPr>
            <w:r w:rsidRPr="0055595D">
              <w:rPr>
                <w:rFonts w:ascii="Calibri" w:eastAsia="Calibri" w:hAnsi="Calibri" w:cs="Calibri"/>
              </w:rPr>
              <w:t> </w:t>
            </w:r>
          </w:p>
        </w:tc>
        <w:tc>
          <w:tcPr>
            <w:tcW w:w="657" w:type="dxa"/>
            <w:tcBorders>
              <w:top w:val="single" w:sz="4" w:space="0" w:color="000000"/>
              <w:bottom w:val="single" w:sz="4" w:space="0" w:color="000000"/>
              <w:right w:val="single" w:sz="4" w:space="0" w:color="000000"/>
            </w:tcBorders>
            <w:shd w:val="clear" w:color="auto" w:fill="auto"/>
            <w:vAlign w:val="center"/>
          </w:tcPr>
          <w:p w14:paraId="1D4AB356" w14:textId="77777777" w:rsidR="008D28BB" w:rsidRPr="0055595D" w:rsidRDefault="008D28BB" w:rsidP="000B3355">
            <w:pPr>
              <w:spacing w:after="0"/>
              <w:rPr>
                <w:rFonts w:ascii="Calibri" w:eastAsia="Calibri" w:hAnsi="Calibri" w:cs="Calibri"/>
              </w:rPr>
            </w:pPr>
            <w:r w:rsidRPr="0055595D">
              <w:rPr>
                <w:rFonts w:ascii="Calibri" w:eastAsia="Calibri" w:hAnsi="Calibri" w:cs="Calibri"/>
              </w:rPr>
              <w:t>o </w:t>
            </w:r>
          </w:p>
        </w:tc>
        <w:tc>
          <w:tcPr>
            <w:tcW w:w="472" w:type="dxa"/>
            <w:tcBorders>
              <w:top w:val="single" w:sz="4" w:space="0" w:color="000000"/>
              <w:left w:val="single" w:sz="4" w:space="0" w:color="000000"/>
              <w:bottom w:val="single" w:sz="4" w:space="0" w:color="000000"/>
            </w:tcBorders>
            <w:shd w:val="clear" w:color="auto" w:fill="auto"/>
            <w:vAlign w:val="center"/>
          </w:tcPr>
          <w:p w14:paraId="55CEAEBA" w14:textId="77777777" w:rsidR="008D28BB" w:rsidRPr="0055595D" w:rsidRDefault="008D28BB" w:rsidP="000B3355">
            <w:pPr>
              <w:spacing w:after="0"/>
              <w:jc w:val="right"/>
              <w:rPr>
                <w:rFonts w:ascii="Calibri" w:eastAsia="Calibri" w:hAnsi="Calibri" w:cs="Calibri"/>
              </w:rPr>
            </w:pPr>
            <w:r w:rsidRPr="0055595D">
              <w:rPr>
                <w:rFonts w:ascii="Calibri" w:eastAsia="Calibri" w:hAnsi="Calibri" w:cs="Calibri"/>
              </w:rPr>
              <w:t> </w:t>
            </w:r>
          </w:p>
        </w:tc>
        <w:tc>
          <w:tcPr>
            <w:tcW w:w="639" w:type="dxa"/>
            <w:tcBorders>
              <w:top w:val="single" w:sz="4" w:space="0" w:color="000000"/>
              <w:bottom w:val="single" w:sz="4" w:space="0" w:color="000000"/>
              <w:right w:val="nil"/>
            </w:tcBorders>
            <w:shd w:val="clear" w:color="auto" w:fill="auto"/>
            <w:vAlign w:val="center"/>
          </w:tcPr>
          <w:p w14:paraId="7511F028" w14:textId="77777777" w:rsidR="008D28BB" w:rsidRPr="0055595D" w:rsidRDefault="008D28BB" w:rsidP="000B3355">
            <w:pPr>
              <w:spacing w:after="0"/>
              <w:rPr>
                <w:rFonts w:ascii="Calibri" w:eastAsia="Calibri" w:hAnsi="Calibri" w:cs="Calibri"/>
              </w:rPr>
            </w:pPr>
            <w:r w:rsidRPr="0055595D">
              <w:rPr>
                <w:rFonts w:ascii="Calibri" w:eastAsia="Calibri" w:hAnsi="Calibri" w:cs="Calibri"/>
              </w:rPr>
              <w:t> </w:t>
            </w:r>
          </w:p>
        </w:tc>
      </w:tr>
      <w:tr w:rsidR="008D28BB" w14:paraId="74337F07" w14:textId="77777777" w:rsidTr="000B3355">
        <w:trPr>
          <w:trHeight w:val="267"/>
        </w:trPr>
        <w:tc>
          <w:tcPr>
            <w:tcW w:w="546" w:type="dxa"/>
            <w:tcBorders>
              <w:top w:val="nil"/>
              <w:left w:val="nil"/>
              <w:bottom w:val="single" w:sz="4" w:space="0" w:color="000000"/>
              <w:right w:val="single" w:sz="4" w:space="0" w:color="000000"/>
            </w:tcBorders>
            <w:shd w:val="clear" w:color="auto" w:fill="auto"/>
            <w:vAlign w:val="center"/>
          </w:tcPr>
          <w:p w14:paraId="79C12E38"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{"citationItems":[{"id":"ITEM-1","itemData":{"URL":"https://www.regione.toscana.it/-/la-vaccinazione-dei-minori-e-adulti-immigrati","author":[{"dropping-particle":"","family":"Regione Toscana.","given":"","non-dropping-particle":"","parse-names":false,"suffix":""}],"id":"ITEM-1","issued":{"date-parts":[["2019"]]},"title":"La vaccinazione dei minori e adulti immigrati. Website page updated 04.12.2019","type":"webpage"},"uris":["http://www.mendeley.com/documents/?uuid=b9d26f7f-e771-47ff-9751-fa37176b540e"]}],"mendeley":{"formattedCitation":"&lt;sup&gt;57&lt;/sup&gt;","plainTextFormattedCitation":"57","previouslyFormattedCitation":"&lt;sup&gt;57&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57</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31712AF"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Regione</w:t>
            </w:r>
            <w:proofErr w:type="spellEnd"/>
            <w:r w:rsidRPr="0011179A">
              <w:rPr>
                <w:rFonts w:ascii="Calibri" w:eastAsia="Calibri" w:hAnsi="Calibri" w:cs="Calibri"/>
                <w:i/>
                <w:color w:val="000000"/>
              </w:rPr>
              <w:t xml:space="preserve"> Toscana 2019</w:t>
            </w:r>
          </w:p>
        </w:tc>
        <w:tc>
          <w:tcPr>
            <w:tcW w:w="509" w:type="dxa"/>
            <w:tcBorders>
              <w:top w:val="single" w:sz="4" w:space="0" w:color="000000"/>
              <w:left w:val="single" w:sz="12" w:space="0" w:color="000000"/>
              <w:bottom w:val="single" w:sz="4" w:space="0" w:color="000000"/>
            </w:tcBorders>
            <w:shd w:val="clear" w:color="auto" w:fill="auto"/>
            <w:vAlign w:val="center"/>
          </w:tcPr>
          <w:p w14:paraId="27346C4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212A120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660225D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7B7211F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227929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233043E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0DAA284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53D8BF9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3D3B688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2B2637B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138301DB" w14:textId="77777777" w:rsidTr="000B3355">
        <w:trPr>
          <w:trHeight w:val="267"/>
        </w:trPr>
        <w:tc>
          <w:tcPr>
            <w:tcW w:w="546" w:type="dxa"/>
            <w:tcBorders>
              <w:top w:val="nil"/>
              <w:left w:val="nil"/>
              <w:bottom w:val="single" w:sz="4" w:space="0" w:color="000000"/>
              <w:right w:val="single" w:sz="4" w:space="0" w:color="000000"/>
            </w:tcBorders>
            <w:vAlign w:val="center"/>
          </w:tcPr>
          <w:p w14:paraId="769D27CD"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{"citationItems":[{"id":"ITEM-1","itemData":{"author":[{"dropping-particle":"","family":"Riza E","given":"","non-dropping-particle":"","parse-names":false,"suffix":""},{"dropping-particle":"","family":"Kalkman S..","given":"","non-dropping-particle":"","parse-names":false,"suffix":""}],"id":"ITEM-1","issued":{"date-parts":[["2018"]]},"title":"Report on models of community health and social care and best practices. Mighealthcare","type":"article-journal"},"uris":["http://www.mendeley.com/documents/?uuid=6fa659fc-87cc-4089-95c2-c809ec013c7c"]}],"mendeley":{"formattedCitation":"&lt;sup&gt;58&lt;/sup&gt;","plainTextFormattedCitation":"58","previouslyFormattedCitation":"&lt;sup&gt;58&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58</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60CD1D9"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Riza, 2018</w:t>
            </w:r>
          </w:p>
        </w:tc>
        <w:tc>
          <w:tcPr>
            <w:tcW w:w="509" w:type="dxa"/>
            <w:tcBorders>
              <w:top w:val="single" w:sz="4" w:space="0" w:color="000000"/>
              <w:left w:val="single" w:sz="12" w:space="0" w:color="000000"/>
              <w:bottom w:val="single" w:sz="4" w:space="0" w:color="000000"/>
            </w:tcBorders>
            <w:shd w:val="clear" w:color="auto" w:fill="auto"/>
            <w:vAlign w:val="center"/>
          </w:tcPr>
          <w:p w14:paraId="34DB146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53A9769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737AF9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1E58E05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2A26BC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3C0E724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11433A0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5B16F54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1ACC04C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1FE0F0C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1CCB4247" w14:textId="77777777" w:rsidTr="000B3355">
        <w:trPr>
          <w:trHeight w:val="267"/>
        </w:trPr>
        <w:tc>
          <w:tcPr>
            <w:tcW w:w="546" w:type="dxa"/>
            <w:tcBorders>
              <w:top w:val="nil"/>
              <w:left w:val="nil"/>
              <w:bottom w:val="single" w:sz="4" w:space="0" w:color="000000"/>
              <w:right w:val="single" w:sz="4" w:space="0" w:color="000000"/>
            </w:tcBorders>
            <w:vAlign w:val="center"/>
          </w:tcPr>
          <w:p w14:paraId="23EADB11"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{"citationItems":[{"id":"ITEM-1","itemData":{"author":[{"dropping-particle":"","family":"Robert Koch-Institut. Epidemiologisches Bulletin.","given":"","non-dropping-particle":"","parse-names":false,"suffix":""}],"id":"ITEM-1","issue":"34","issued":{"date-parts":[["2020"]]},"title":"Recommendations of the Permanent Vaccination Commission at the Robert Koch Institute 2020/2021","type":"article-journal"},"uris":["http://www.mendeley.com/documents/?uuid=6f794140-826d-4959-b486-a1562353bf71"]}],"mendeley":{"formattedCitation":"&lt;sup&gt;59&lt;/sup&gt;","plainTextFormattedCitation":"59","previouslyFormattedCitation":"&lt;sup&gt;59&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59</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3E2F0F9"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Robert Koch-</w:t>
            </w:r>
            <w:proofErr w:type="spellStart"/>
            <w:r w:rsidRPr="0011179A">
              <w:rPr>
                <w:rFonts w:ascii="Calibri" w:eastAsia="Calibri" w:hAnsi="Calibri" w:cs="Calibri"/>
                <w:i/>
                <w:color w:val="000000"/>
              </w:rPr>
              <w:t>Institut</w:t>
            </w:r>
            <w:proofErr w:type="spellEnd"/>
            <w:r w:rsidRPr="0011179A">
              <w:rPr>
                <w:rFonts w:ascii="Calibri" w:eastAsia="Calibri" w:hAnsi="Calibri" w:cs="Calibri"/>
                <w:i/>
                <w:color w:val="000000"/>
              </w:rPr>
              <w:t xml:space="preserve"> Bulletin, 2020</w:t>
            </w:r>
          </w:p>
        </w:tc>
        <w:tc>
          <w:tcPr>
            <w:tcW w:w="509" w:type="dxa"/>
            <w:tcBorders>
              <w:top w:val="single" w:sz="4" w:space="0" w:color="000000"/>
              <w:left w:val="single" w:sz="12" w:space="0" w:color="000000"/>
              <w:bottom w:val="single" w:sz="4" w:space="0" w:color="000000"/>
            </w:tcBorders>
            <w:shd w:val="clear" w:color="auto" w:fill="auto"/>
            <w:vAlign w:val="center"/>
          </w:tcPr>
          <w:p w14:paraId="3443331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10C8AE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93A39B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9C5850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98D9CC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78C3AD4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05DC08E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654DC30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33EF5B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5164A2E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48F37C24" w14:textId="77777777" w:rsidTr="000B3355">
        <w:trPr>
          <w:trHeight w:val="267"/>
        </w:trPr>
        <w:tc>
          <w:tcPr>
            <w:tcW w:w="546" w:type="dxa"/>
            <w:tcBorders>
              <w:top w:val="nil"/>
              <w:left w:val="nil"/>
              <w:bottom w:val="single" w:sz="4" w:space="0" w:color="000000"/>
              <w:right w:val="single" w:sz="4" w:space="0" w:color="000000"/>
            </w:tcBorders>
            <w:vAlign w:val="center"/>
          </w:tcPr>
          <w:p w14:paraId="3CBA7203"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10.1080/21645515.2018.1539604","ISSN":"2164-5515","author":[{"dropping-particle":"","family":"Rubens-Augustson","given":"Taylor","non-dropping-particle":"","parse-names":false,"suffix":""},{"dropping-particle":"","family":"Wilson","given":"Lindsay A.","non-dropping-particle":"","parse-names":false,"suffix":""},{"dropping-particle":"","family":"Murphy","given":"Malia SQ","non-dropping-particle":"","parse-names":false,"suffix":""},{"dropping-particle":"","family":"Jardine","given":"Cindy","non-dropping-particle":"","parse-names":false,"suffix":""},{"dropping-particle":"","family":"Pottie","given":"Kevin","non-dropping-particle":"","parse-names":false,"suffix":""},{"dropping-particle":"","family":"Hui","given":"Charles","non-dropping-particle":"","parse-names":false,"suffix":""},{"dropping-particle":"","family":"Stafström","given":"Martin","non-dropping-particle":"","parse-names":false,"suffix":""},{"dropping-particle":"","family":"Wilson","given":"Kumanan","non-dropping-particle":"","parse-names":false,"suffix":""}],"container-title":"Human Vaccines &amp; Immunotherapeutics","id":"ITEM-1","issue":"7-8","issued":{"date-parts":[["2019","8","3"]]},"page":"1697-1707","title":"Healthcare provider perspectives on the uptake of the human papillomavirus vaccine among newcomers to Canada: a qualitative study","type":"article-journal","volume":"15"},"uris":["http://www.mendeley.com/documents/?uuid=2acac201-d176-475a-aed8-9513c7f87b06"]}],"mendeley":{"formattedCitation":"&lt;sup&gt;60&lt;/sup&gt;","plainTextFormattedCitation":"60","previouslyFormattedCitation":"&lt;sup&gt;60&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60</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57B4BD39"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Rubens-</w:t>
            </w:r>
            <w:proofErr w:type="spellStart"/>
            <w:r w:rsidRPr="0011179A">
              <w:rPr>
                <w:rFonts w:ascii="Calibri" w:eastAsia="Calibri" w:hAnsi="Calibri" w:cs="Calibri"/>
                <w:i/>
                <w:color w:val="000000"/>
              </w:rPr>
              <w:t>Auguston</w:t>
            </w:r>
            <w:proofErr w:type="spellEnd"/>
            <w:r w:rsidRPr="0011179A">
              <w:rPr>
                <w:rFonts w:ascii="Calibri" w:eastAsia="Calibri" w:hAnsi="Calibri" w:cs="Calibri"/>
                <w:i/>
                <w:color w:val="000000"/>
              </w:rPr>
              <w:t>, 2019</w:t>
            </w:r>
          </w:p>
        </w:tc>
        <w:tc>
          <w:tcPr>
            <w:tcW w:w="509" w:type="dxa"/>
            <w:tcBorders>
              <w:top w:val="single" w:sz="4" w:space="0" w:color="000000"/>
              <w:left w:val="single" w:sz="12" w:space="0" w:color="000000"/>
              <w:bottom w:val="single" w:sz="4" w:space="0" w:color="000000"/>
            </w:tcBorders>
            <w:shd w:val="clear" w:color="auto" w:fill="auto"/>
            <w:vAlign w:val="center"/>
          </w:tcPr>
          <w:p w14:paraId="4BCC0F4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E72A28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3ED30F4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41FE140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B520B7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258F527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065B5E7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7A44071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1ED20ED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7B8F711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4C5D1B32" w14:textId="77777777" w:rsidTr="000B3355">
        <w:trPr>
          <w:trHeight w:val="267"/>
        </w:trPr>
        <w:tc>
          <w:tcPr>
            <w:tcW w:w="546" w:type="dxa"/>
            <w:tcBorders>
              <w:top w:val="nil"/>
              <w:left w:val="nil"/>
              <w:bottom w:val="single" w:sz="4" w:space="0" w:color="000000"/>
              <w:right w:val="single" w:sz="4" w:space="0" w:color="000000"/>
            </w:tcBorders>
            <w:vAlign w:val="center"/>
          </w:tcPr>
          <w:p w14:paraId="3FEE4ED0"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{"citationItems":[{"id":"ITEM-1","itemData":{"DOI":"10.3390/children6120129","ISSN":"2227-9067","abstract":"In recent years, there has been a substantial increase in refugee and asylum-seeking adults, adolescents and children to high-income countries. Infectious diseases remain the most frequently identified medical diagnosis among U.S.-bound refugee children. Medical screening and immunization are key strategies to reduce the risk of infectious diseases in refugee, internationally adopted, and immigrant children. Notable infectious diseases affecting refugee and other newly arriving migrants include latent or active tuberculosis, human immunodeficiency virus type 1 (HIV), hepatitis B, hepatitis C, vaccine-preventable diseases, malaria, and other parasitic infections. The U.S. Centers for Disease Control and Prevention and the American Academy of Pediatrics have published guidelines for health assessment of newly arriving immigrant, refugee, and internationally adopted children. Although, data on the health risks and needs of refugee exists in some high-income countries, there is an urgent need to develop robust evidence-informed guidance on screening for infectious diseases and vaccination strategies on a broader scale to inform national policies. Innovative approaches to reach migrant communities in the host nations, address health and other complex barriers to improve access to high-quality integrated health services, and strong advocacy to mobilize resources to improve health, safety, and wellbeing for refugee children and their families are urgent priorities.","author":[{"dropping-particle":"","family":"Shetty","given":"Avinash K.","non-dropping-particle":"","parse-names":false,"suffix":""}],"container-title":"Children","id":"ITEM-1","issue":"12","issued":{"date-parts":[["2019","11","27"]]},"page":"129","title":"Infectious Diseases among Refugee Children","type":"article-journal","volume":"6"},"uris":["http://www.mendeley.com/documents/?uuid=f3ecbc13-f783-4985-9fbf-f2f3e44d4d31"]}],"mendeley":{"formattedCitation":"&lt;sup&gt;61&lt;/sup&gt;","plainTextFormattedCitation":"61","previouslyFormattedCitation":"&lt;sup&gt;61&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61</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34526452"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Shetty, 2019</w:t>
            </w:r>
          </w:p>
        </w:tc>
        <w:tc>
          <w:tcPr>
            <w:tcW w:w="509" w:type="dxa"/>
            <w:tcBorders>
              <w:top w:val="single" w:sz="4" w:space="0" w:color="000000"/>
              <w:left w:val="single" w:sz="12" w:space="0" w:color="000000"/>
              <w:bottom w:val="single" w:sz="4" w:space="0" w:color="000000"/>
            </w:tcBorders>
            <w:shd w:val="clear" w:color="auto" w:fill="auto"/>
            <w:vAlign w:val="center"/>
          </w:tcPr>
          <w:p w14:paraId="57DF60B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2F8D94B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658FC4B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77B7BB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745513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7949F7A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25AFD7B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65F2FA3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5760A6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C7A56B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090A154B" w14:textId="77777777" w:rsidTr="000B3355">
        <w:trPr>
          <w:trHeight w:val="267"/>
        </w:trPr>
        <w:tc>
          <w:tcPr>
            <w:tcW w:w="546" w:type="dxa"/>
            <w:tcBorders>
              <w:top w:val="nil"/>
              <w:left w:val="nil"/>
              <w:bottom w:val="single" w:sz="4" w:space="0" w:color="000000"/>
              <w:right w:val="single" w:sz="4" w:space="0" w:color="000000"/>
            </w:tcBorders>
            <w:vAlign w:val="center"/>
          </w:tcPr>
          <w:p w14:paraId="2AE924E8"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10.1136/bmjopen-2020-040974","ISSN":"2044-6055","author":[{"dropping-particle":"","family":"Socha","given":"Anna","non-dropping-particle":"","parse-names":false,"suffix":""},{"dropping-particle":"","family":"Klein","given":"Jörn","non-dropping-particle":"","parse-names":false,"suffix":""}],"container-title":"BMJ Open","id":"ITEM-1","issue":"11","issued":{"date-parts":[["2020","11","24"]]},"page":"e040974","title":"What are the challenges in the vaccination of migrants in Norway from healthcare provider perspectives? A qualitative, phenomenological study","type":"article-journal","volume":"10"},"uris":["http://www.mendeley.com/documents/?uuid=ebed2fbe-9cb9-4984-a3f5-2b14649b1c6f"]}],"mendeley":{"formattedCitation":"&lt;sup&gt;62&lt;/sup&gt;","plainTextFormattedCitation":"62","previouslyFormattedCitation":"&lt;sup&gt;62&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62</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D39A6A8"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Socha</w:t>
            </w:r>
            <w:proofErr w:type="spellEnd"/>
            <w:r w:rsidRPr="0011179A">
              <w:rPr>
                <w:rFonts w:ascii="Calibri" w:eastAsia="Calibri" w:hAnsi="Calibri" w:cs="Calibri"/>
                <w:i/>
                <w:color w:val="000000"/>
              </w:rPr>
              <w:t>, 2020</w:t>
            </w:r>
          </w:p>
        </w:tc>
        <w:tc>
          <w:tcPr>
            <w:tcW w:w="509" w:type="dxa"/>
            <w:tcBorders>
              <w:top w:val="single" w:sz="4" w:space="0" w:color="000000"/>
              <w:left w:val="single" w:sz="12" w:space="0" w:color="000000"/>
              <w:bottom w:val="single" w:sz="4" w:space="0" w:color="000000"/>
            </w:tcBorders>
            <w:shd w:val="clear" w:color="auto" w:fill="auto"/>
            <w:vAlign w:val="center"/>
          </w:tcPr>
          <w:p w14:paraId="37BB54B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28AE00F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3666FF2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28587B8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588A30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45E2C5A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27C501B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4BDF9AD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C44811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39" w:type="dxa"/>
            <w:tcBorders>
              <w:top w:val="single" w:sz="4" w:space="0" w:color="000000"/>
              <w:bottom w:val="single" w:sz="4" w:space="0" w:color="000000"/>
              <w:right w:val="nil"/>
            </w:tcBorders>
            <w:shd w:val="clear" w:color="auto" w:fill="auto"/>
            <w:vAlign w:val="center"/>
          </w:tcPr>
          <w:p w14:paraId="4B18949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r>
      <w:tr w:rsidR="008D28BB" w14:paraId="22B2E42F" w14:textId="77777777" w:rsidTr="000B3355">
        <w:trPr>
          <w:trHeight w:val="267"/>
        </w:trPr>
        <w:tc>
          <w:tcPr>
            <w:tcW w:w="546" w:type="dxa"/>
            <w:tcBorders>
              <w:top w:val="nil"/>
              <w:left w:val="nil"/>
              <w:bottom w:val="single" w:sz="4" w:space="0" w:color="000000"/>
              <w:right w:val="single" w:sz="4" w:space="0" w:color="000000"/>
            </w:tcBorders>
            <w:vAlign w:val="center"/>
          </w:tcPr>
          <w:p w14:paraId="62DF91F2"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10.1007/978-3-662-58314-2_49","author":[{"dropping-particle":"","family":"Spallek","given":"Jacob","non-dropping-particle":"","parse-names":false,"suffix":""},{"dropping-particle":"","family":"Schumann","given":"Maria","non-dropping-particle":"","parse-names":false,"suffix":""},{"dropping-particle":"","family":"Reeske-Behrens","given":"Anna","non-dropping-particle":"","parse-names":false,"suffix":""}],"id":"ITEM-1","issued":{"date-parts":[["2019"]]},"page":"527-538","title":"Migration und Gesundheit – Gestaltungsmöglichkeiten von Gesundheitsversorgung und Public Health in diversen Gesellschaften","type":"chapter"},"uris":["http://www.mendeley.com/documents/?uuid=c915fd3f-25fa-4a06-95df-14b5adf9642e"]}],"mendeley":{"formattedCitation":"&lt;sup&gt;63&lt;/sup&gt;","plainTextFormattedCitation":"63","previouslyFormattedCitation":"&lt;sup&gt;63&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63</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35EED77E"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Spallek</w:t>
            </w:r>
            <w:proofErr w:type="spellEnd"/>
            <w:r w:rsidRPr="0011179A">
              <w:rPr>
                <w:rFonts w:ascii="Calibri" w:eastAsia="Calibri" w:hAnsi="Calibri" w:cs="Calibri"/>
                <w:i/>
                <w:color w:val="000000"/>
              </w:rPr>
              <w:t>, 2019</w:t>
            </w:r>
          </w:p>
        </w:tc>
        <w:tc>
          <w:tcPr>
            <w:tcW w:w="509" w:type="dxa"/>
            <w:tcBorders>
              <w:top w:val="single" w:sz="4" w:space="0" w:color="000000"/>
              <w:left w:val="single" w:sz="12" w:space="0" w:color="000000"/>
              <w:bottom w:val="single" w:sz="4" w:space="0" w:color="000000"/>
            </w:tcBorders>
            <w:shd w:val="clear" w:color="auto" w:fill="auto"/>
            <w:vAlign w:val="center"/>
          </w:tcPr>
          <w:p w14:paraId="26CDC9C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3FC38CD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4" w:space="0" w:color="000000"/>
            </w:tcBorders>
            <w:shd w:val="clear" w:color="auto" w:fill="auto"/>
            <w:vAlign w:val="center"/>
          </w:tcPr>
          <w:p w14:paraId="4BFE3BD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734A81F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C69D3C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52EE3F5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1901332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5E14B96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C1AB5B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7BAC20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0B73F4FC" w14:textId="77777777" w:rsidTr="000B3355">
        <w:trPr>
          <w:trHeight w:val="267"/>
        </w:trPr>
        <w:tc>
          <w:tcPr>
            <w:tcW w:w="546" w:type="dxa"/>
            <w:tcBorders>
              <w:top w:val="nil"/>
              <w:left w:val="nil"/>
              <w:bottom w:val="single" w:sz="4" w:space="0" w:color="000000"/>
              <w:right w:val="single" w:sz="4" w:space="0" w:color="000000"/>
            </w:tcBorders>
            <w:vAlign w:val="center"/>
          </w:tcPr>
          <w:p w14:paraId="43E89DCA"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{"citationItems":[{"id":"ITEM-1","itemData":{"author":[{"dropping-particle":"","family":"Sypsa V.","given":"","non-dropping-particle":"","parse-names":false,"suffix":""}],"id":"ITEM-1","issued":{"date-parts":[["2016"]]},"title":"Hprolispsis: HBV &amp; HCV Infections among Roma &amp; migrants in Greece. VHPV – Slovenia","type":"paper-conference"},"uris":["http://www.mendeley.com/documents/?uuid=9289f7c9-528a-45f8-9150-35c554428e19"]}],"mendeley":{"formattedCitation":"&lt;sup&gt;64&lt;/sup&gt;","plainTextFormattedCitation":"64","previouslyFormattedCitation":"&lt;sup&gt;64&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64</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DFA297F"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Sypsa</w:t>
            </w:r>
            <w:proofErr w:type="spellEnd"/>
            <w:r w:rsidRPr="0011179A">
              <w:rPr>
                <w:rFonts w:ascii="Calibri" w:eastAsia="Calibri" w:hAnsi="Calibri" w:cs="Calibri"/>
                <w:i/>
                <w:color w:val="000000"/>
              </w:rPr>
              <w:t>, 2016</w:t>
            </w:r>
          </w:p>
        </w:tc>
        <w:tc>
          <w:tcPr>
            <w:tcW w:w="509" w:type="dxa"/>
            <w:tcBorders>
              <w:top w:val="single" w:sz="4" w:space="0" w:color="000000"/>
              <w:left w:val="single" w:sz="12" w:space="0" w:color="000000"/>
              <w:bottom w:val="single" w:sz="4" w:space="0" w:color="000000"/>
            </w:tcBorders>
            <w:shd w:val="clear" w:color="auto" w:fill="auto"/>
            <w:vAlign w:val="center"/>
          </w:tcPr>
          <w:p w14:paraId="1116C22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31243EC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5688E02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5C0C618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2057F2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07ED087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2B698CC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0B4A6AD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0F1649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7ACCE5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72C0EFA0" w14:textId="77777777" w:rsidTr="000B3355">
        <w:trPr>
          <w:trHeight w:val="535"/>
        </w:trPr>
        <w:tc>
          <w:tcPr>
            <w:tcW w:w="546" w:type="dxa"/>
            <w:tcBorders>
              <w:top w:val="nil"/>
              <w:left w:val="nil"/>
              <w:bottom w:val="single" w:sz="4" w:space="0" w:color="000000"/>
              <w:right w:val="single" w:sz="4" w:space="0" w:color="000000"/>
            </w:tcBorders>
            <w:vAlign w:val="center"/>
          </w:tcPr>
          <w:p w14:paraId="7A8A2F2D" w14:textId="77777777" w:rsidR="008D28BB" w:rsidRPr="0011179A" w:rsidRDefault="008D28BB" w:rsidP="000B3355">
            <w:pPr>
              <w:spacing w:after="0"/>
              <w:jc w:val="center"/>
              <w:rPr>
                <w:rFonts w:ascii="Calibri" w:eastAsia="Calibri" w:hAnsi="Calibri" w:cs="Calibri"/>
                <w:i/>
                <w:color w:val="000000"/>
                <w:lang w:val="it-IT"/>
              </w:rPr>
            </w:pPr>
            <w:r w:rsidRPr="0011179A">
              <w:rPr>
                <w:rFonts w:ascii="Calibri" w:eastAsia="Calibri" w:hAnsi="Calibri" w:cs="Calibri"/>
                <w:i/>
                <w:color w:val="000000"/>
              </w:rPr>
              <w:fldChar w:fldCharType="begin" w:fldLock="1"/>
            </w:r>
            <w:r w:rsidRPr="0011179A">
              <w:rPr>
                <w:rFonts w:ascii="Calibri" w:eastAsia="Calibri" w:hAnsi="Calibri" w:cs="Calibri"/>
                <w:i/>
                <w:color w:val="000000"/>
                <w:lang w:val="it-IT"/>
              </w:rPr>
              <w:instrText>ADDIN CSL_CITATION {"citationItems":[{"id":"ITEM-1","itemData":{"author":[{"dropping-particle":"","family":"Tavolo Immigrazione e Salute (TIS) e Tavolo Asilo e Immigrati (TAI).","given":"","non-dropping-particle":"","parse-names":false,"suffix":""}],"id":"ITEM-1","issued":{"date-parts":[["2021"]]},"title":"Letter (Italy), Oggetto: Richiesta urgente di Indicazioni nazionali per porre fine alle disparità di accesso alla campagna vaccinale anti-SARS-CoV-2/COVID-19","type":"report"},"uris":["http://www.mendeley.com/documents/?uuid=7083b02f-9274-42aa-965d-e69b14fa3f63"]}],"mendeley":{"formattedCitation":"&lt;sup&gt;65&lt;/sup&gt;","plainTextFormattedCitation":"65","previouslyFormattedCitation":"&lt;sup&gt;65&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lang w:val="it-IT"/>
              </w:rPr>
              <w:t>65</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2240C411" w14:textId="77777777" w:rsidR="008D28BB" w:rsidRPr="0011179A" w:rsidRDefault="008D28BB" w:rsidP="000B3355">
            <w:pPr>
              <w:spacing w:after="0"/>
              <w:rPr>
                <w:rFonts w:ascii="Calibri" w:eastAsia="Calibri" w:hAnsi="Calibri" w:cs="Calibri"/>
                <w:i/>
                <w:color w:val="000000"/>
                <w:lang w:val="it-IT"/>
              </w:rPr>
            </w:pPr>
            <w:r w:rsidRPr="0011179A">
              <w:rPr>
                <w:rFonts w:ascii="Calibri" w:eastAsia="Calibri" w:hAnsi="Calibri" w:cs="Calibri"/>
                <w:i/>
                <w:color w:val="000000"/>
                <w:lang w:val="it-IT"/>
              </w:rPr>
              <w:t>Tavolo Immigrazione Salute TIS e Tavolo Asilo e Immigrati TAI, 2021</w:t>
            </w:r>
          </w:p>
        </w:tc>
        <w:tc>
          <w:tcPr>
            <w:tcW w:w="509" w:type="dxa"/>
            <w:tcBorders>
              <w:top w:val="single" w:sz="4" w:space="0" w:color="000000"/>
              <w:left w:val="single" w:sz="12" w:space="0" w:color="000000"/>
              <w:bottom w:val="single" w:sz="4" w:space="0" w:color="000000"/>
            </w:tcBorders>
            <w:shd w:val="clear" w:color="auto" w:fill="auto"/>
            <w:vAlign w:val="center"/>
          </w:tcPr>
          <w:p w14:paraId="29AE7740" w14:textId="77777777" w:rsidR="008D28BB" w:rsidRPr="00A46D48" w:rsidRDefault="008D28BB" w:rsidP="000B3355">
            <w:pPr>
              <w:spacing w:after="0"/>
              <w:jc w:val="right"/>
              <w:rPr>
                <w:rFonts w:ascii="Calibri" w:eastAsia="Calibri" w:hAnsi="Calibri" w:cs="Calibri"/>
                <w:color w:val="000000"/>
                <w:lang w:val="it-IT"/>
              </w:rPr>
            </w:pPr>
            <w:r w:rsidRPr="00A46D48">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25219922" w14:textId="77777777" w:rsidR="008D28BB" w:rsidRPr="00A46D48" w:rsidRDefault="008D28BB" w:rsidP="000B3355">
            <w:pPr>
              <w:spacing w:after="0"/>
              <w:rPr>
                <w:rFonts w:ascii="Calibri" w:eastAsia="Calibri" w:hAnsi="Calibri" w:cs="Calibri"/>
                <w:color w:val="000000"/>
                <w:lang w:val="it-IT"/>
              </w:rPr>
            </w:pPr>
            <w:r w:rsidRPr="00A46D48">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14FC80C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35E3FF9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06D14CC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267A361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397B0AF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40609F6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5D07EBF"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A9B4C0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6C82E1DA" w14:textId="77777777" w:rsidTr="000B3355">
        <w:trPr>
          <w:trHeight w:val="267"/>
        </w:trPr>
        <w:tc>
          <w:tcPr>
            <w:tcW w:w="546" w:type="dxa"/>
            <w:tcBorders>
              <w:top w:val="nil"/>
              <w:left w:val="nil"/>
              <w:bottom w:val="single" w:sz="4" w:space="0" w:color="000000"/>
              <w:right w:val="single" w:sz="4" w:space="0" w:color="000000"/>
            </w:tcBorders>
            <w:vAlign w:val="center"/>
          </w:tcPr>
          <w:p w14:paraId="6EB5BEB7"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{"citationItems":[{"id":"ITEM-1","itemData":{"author":[{"dropping-particle":"","family":"Tavolo Asilo e Immigrazione (2021)","given":"","non-dropping-particle":"","parse-names":false,"suffix":""}],"id":"ITEM-1","issued":{"date-parts":[["2021"]]},"title":"Indagine sulla disponibilità a vaccinarsi contro il COVID-19 da parte delle persone ospitate nei centri/strutture di accoglienza in Italia. Dossier COVID-19. n3","type":"report"},"uris":["http://www.mendeley.com/documents/?uuid=d0ab3227-629f-4a1c-8043-1fd73a9f2cf0"]}],"mendeley":{"formattedCitation":"&lt;sup&gt;66&lt;/sup&gt;","plainTextFormattedCitation":"66","previouslyFormattedCitation":"&lt;sup&gt;66&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66</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D625A68"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Tavolo</w:t>
            </w:r>
            <w:proofErr w:type="spellEnd"/>
            <w:r w:rsidRPr="0011179A">
              <w:rPr>
                <w:rFonts w:ascii="Calibri" w:eastAsia="Calibri" w:hAnsi="Calibri" w:cs="Calibri"/>
                <w:i/>
                <w:color w:val="000000"/>
              </w:rPr>
              <w:t xml:space="preserve"> </w:t>
            </w:r>
            <w:proofErr w:type="spellStart"/>
            <w:r w:rsidRPr="0011179A">
              <w:rPr>
                <w:rFonts w:ascii="Calibri" w:eastAsia="Calibri" w:hAnsi="Calibri" w:cs="Calibri"/>
                <w:i/>
                <w:color w:val="000000"/>
              </w:rPr>
              <w:t>Asilo</w:t>
            </w:r>
            <w:proofErr w:type="spellEnd"/>
            <w:r w:rsidRPr="0011179A">
              <w:rPr>
                <w:rFonts w:ascii="Calibri" w:eastAsia="Calibri" w:hAnsi="Calibri" w:cs="Calibri"/>
                <w:i/>
                <w:color w:val="000000"/>
              </w:rPr>
              <w:t xml:space="preserve"> e </w:t>
            </w:r>
            <w:proofErr w:type="spellStart"/>
            <w:r w:rsidRPr="0011179A">
              <w:rPr>
                <w:rFonts w:ascii="Calibri" w:eastAsia="Calibri" w:hAnsi="Calibri" w:cs="Calibri"/>
                <w:i/>
                <w:color w:val="000000"/>
              </w:rPr>
              <w:t>Immigrazione</w:t>
            </w:r>
            <w:proofErr w:type="spellEnd"/>
            <w:r w:rsidRPr="0011179A">
              <w:rPr>
                <w:rFonts w:ascii="Calibri" w:eastAsia="Calibri" w:hAnsi="Calibri" w:cs="Calibri"/>
                <w:i/>
                <w:color w:val="000000"/>
              </w:rPr>
              <w:t>, 2021</w:t>
            </w:r>
          </w:p>
        </w:tc>
        <w:tc>
          <w:tcPr>
            <w:tcW w:w="509" w:type="dxa"/>
            <w:tcBorders>
              <w:top w:val="single" w:sz="4" w:space="0" w:color="000000"/>
              <w:left w:val="single" w:sz="12" w:space="0" w:color="000000"/>
              <w:bottom w:val="single" w:sz="4" w:space="0" w:color="000000"/>
            </w:tcBorders>
            <w:shd w:val="clear" w:color="auto" w:fill="auto"/>
            <w:vAlign w:val="center"/>
          </w:tcPr>
          <w:p w14:paraId="51331F3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3141A69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3EA0193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1EF4153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14DECEB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42AC7C3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6E257BD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2F0C62E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93B57E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44A7981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7BB6D325" w14:textId="77777777" w:rsidTr="000B3355">
        <w:trPr>
          <w:trHeight w:val="267"/>
        </w:trPr>
        <w:tc>
          <w:tcPr>
            <w:tcW w:w="546" w:type="dxa"/>
            <w:tcBorders>
              <w:top w:val="nil"/>
              <w:left w:val="nil"/>
              <w:bottom w:val="single" w:sz="4" w:space="0" w:color="000000"/>
              <w:right w:val="single" w:sz="4" w:space="0" w:color="000000"/>
            </w:tcBorders>
            <w:vAlign w:val="center"/>
          </w:tcPr>
          <w:p w14:paraId="741F622D"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{"citationItems":[{"id":"ITEM-1","itemData":{"DOI":"10.1136/bmj.n1608","ISSN":"1756-1833","author":[{"dropping-particle":"","family":"Teerawattananon","given":"Yot","non-dropping-particle":"","parse-names":false,"suffix":""},{"dropping-particle":"","family":"Teo","given":"Yik Ying","non-dropping-particle":"","parse-names":false,"suffix":""},{"dropping-particle":"","family":"Lim","given":"Jeremy Fung Yen","non-dropping-particle":"","parse-names":false,"suffix":""},{"dropping-particle":"","family":"Hsu","given":"Li Yang","non-dropping-particle":"","parse-names":false,"suffix":""},{"dropping-particle":"","family":"Dabak","given":"Saudamini","non-dropping-particle":"","parse-names":false,"suffix":""}],"container-title":"BMJ","id":"ITEM-1","issued":{"date-parts":[["2021","6","25"]]},"page":"n1608","title":"Vaccinating undocumented migrants against covid-19","type":"article-journal"},"uris":["http://www.mendeley.com/documents/?uuid=64eb1f60-a17e-4560-803d-56217409d867"]}],"mendeley":{"formattedCitation":"&lt;sup&gt;67&lt;/sup&gt;","plainTextFormattedCitation":"67","previouslyFormattedCitation":"&lt;sup&gt;67&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67</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3064D75"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Teerawattananon</w:t>
            </w:r>
            <w:proofErr w:type="spellEnd"/>
            <w:r w:rsidRPr="0011179A">
              <w:rPr>
                <w:rFonts w:ascii="Calibri" w:eastAsia="Calibri" w:hAnsi="Calibri" w:cs="Calibri"/>
                <w:i/>
                <w:color w:val="000000"/>
              </w:rPr>
              <w:t>, 2021</w:t>
            </w:r>
          </w:p>
        </w:tc>
        <w:tc>
          <w:tcPr>
            <w:tcW w:w="509" w:type="dxa"/>
            <w:tcBorders>
              <w:top w:val="single" w:sz="4" w:space="0" w:color="000000"/>
              <w:left w:val="single" w:sz="12" w:space="0" w:color="000000"/>
              <w:bottom w:val="single" w:sz="4" w:space="0" w:color="000000"/>
            </w:tcBorders>
            <w:shd w:val="clear" w:color="auto" w:fill="auto"/>
            <w:vAlign w:val="center"/>
          </w:tcPr>
          <w:p w14:paraId="53D67E1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6B0D4B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28DD0A1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42D98C4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EE7F4F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13AD416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78B3FE6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2C34001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1F4A5F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18F90E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50403011" w14:textId="77777777" w:rsidTr="000B3355">
        <w:trPr>
          <w:trHeight w:val="267"/>
        </w:trPr>
        <w:tc>
          <w:tcPr>
            <w:tcW w:w="546" w:type="dxa"/>
            <w:tcBorders>
              <w:top w:val="nil"/>
              <w:left w:val="nil"/>
              <w:bottom w:val="single" w:sz="4" w:space="0" w:color="000000"/>
              <w:right w:val="single" w:sz="4" w:space="0" w:color="000000"/>
            </w:tcBorders>
            <w:vAlign w:val="center"/>
          </w:tcPr>
          <w:p w14:paraId="2FCF1B7E"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{"citationItems":[{"id":"ITEM-1","itemData":{"author":[{"dropping-particle":"","family":"Theodorou M Charalambous C Petrou C Cylus J.","given":"","non-dropping-particle":"","parse-names":false,"suffix":""}],"id":"ITEM-1","issued":{"date-parts":[["2012"]]},"title":"Cyprus: Health system review. Health Systems in Transition 2012;14(6):1–128","type":"report"},"uris":["http://www.mendeley.com/documents/?uuid=86be7ef4-340b-443a-98f9-f65d24a06149"]}],"mendeley":{"formattedCitation":"&lt;sup&gt;68&lt;/sup&gt;","plainTextFormattedCitation":"68","previouslyFormattedCitation":"&lt;sup&gt;68&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68</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375E891D" w14:textId="77777777" w:rsidR="008D28BB" w:rsidRPr="0011179A" w:rsidRDefault="008D28BB" w:rsidP="000B3355">
            <w:pPr>
              <w:spacing w:after="0"/>
              <w:rPr>
                <w:rFonts w:ascii="Calibri" w:eastAsia="Calibri" w:hAnsi="Calibri" w:cs="Calibri"/>
                <w:i/>
                <w:color w:val="000000"/>
              </w:rPr>
            </w:pPr>
            <w:proofErr w:type="spellStart"/>
            <w:r w:rsidRPr="0011179A">
              <w:rPr>
                <w:rFonts w:ascii="Calibri" w:eastAsia="Calibri" w:hAnsi="Calibri" w:cs="Calibri"/>
                <w:i/>
                <w:color w:val="000000"/>
              </w:rPr>
              <w:t>Theodorou</w:t>
            </w:r>
            <w:proofErr w:type="spellEnd"/>
            <w:r w:rsidRPr="0011179A">
              <w:rPr>
                <w:rFonts w:ascii="Calibri" w:eastAsia="Calibri" w:hAnsi="Calibri" w:cs="Calibri"/>
                <w:i/>
                <w:color w:val="000000"/>
              </w:rPr>
              <w:t>, 2012</w:t>
            </w:r>
          </w:p>
        </w:tc>
        <w:tc>
          <w:tcPr>
            <w:tcW w:w="509" w:type="dxa"/>
            <w:tcBorders>
              <w:top w:val="single" w:sz="4" w:space="0" w:color="000000"/>
              <w:left w:val="single" w:sz="12" w:space="0" w:color="000000"/>
              <w:bottom w:val="single" w:sz="4" w:space="0" w:color="000000"/>
            </w:tcBorders>
            <w:shd w:val="clear" w:color="auto" w:fill="auto"/>
            <w:vAlign w:val="center"/>
          </w:tcPr>
          <w:p w14:paraId="40BEFD4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7A08055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4" w:space="0" w:color="000000"/>
            </w:tcBorders>
            <w:shd w:val="clear" w:color="auto" w:fill="auto"/>
            <w:vAlign w:val="center"/>
          </w:tcPr>
          <w:p w14:paraId="20C1549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3D7D07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9665A3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66A01E7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27BE7CE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51CA551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A2EABB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4B7E885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59F57453" w14:textId="77777777" w:rsidTr="000B3355">
        <w:trPr>
          <w:trHeight w:val="267"/>
        </w:trPr>
        <w:tc>
          <w:tcPr>
            <w:tcW w:w="546" w:type="dxa"/>
            <w:tcBorders>
              <w:top w:val="nil"/>
              <w:left w:val="nil"/>
              <w:bottom w:val="single" w:sz="4" w:space="0" w:color="000000"/>
              <w:right w:val="single" w:sz="4" w:space="0" w:color="000000"/>
            </w:tcBorders>
            <w:vAlign w:val="center"/>
          </w:tcPr>
          <w:p w14:paraId="4980CF32" w14:textId="77777777" w:rsidR="008D28BB" w:rsidRPr="0011179A" w:rsidRDefault="008D28BB" w:rsidP="000B3355">
            <w:pPr>
              <w:spacing w:after="0"/>
              <w:jc w:val="center"/>
              <w:rPr>
                <w:rFonts w:ascii="Calibri" w:eastAsia="Calibri" w:hAnsi="Calibri" w:cs="Calibri"/>
                <w:i/>
                <w:color w:val="000000"/>
              </w:rPr>
            </w:pPr>
            <w:r w:rsidRPr="0011179A">
              <w:rPr>
                <w:rFonts w:ascii="Calibri" w:eastAsia="Calibri" w:hAnsi="Calibri" w:cs="Calibri"/>
                <w:i/>
                <w:color w:val="000000"/>
              </w:rPr>
              <w:fldChar w:fldCharType="begin" w:fldLock="1"/>
            </w:r>
            <w:r w:rsidRPr="0011179A">
              <w:rPr>
                <w:rFonts w:ascii="Calibri" w:eastAsia="Calibri" w:hAnsi="Calibri" w:cs="Calibri"/>
                <w:i/>
                <w:color w:val="000000"/>
              </w:rPr>
              <w:instrText>ADDIN CSL_CITATION {"citationItems":[{"id":"ITEM-1","itemData":{"DOI":"10.4269/ajtmh.20-1614","ISSN":"0002-9637","abstract":"As COVID-19 vaccines are distributed across the United States, it is essential to address the pandemic’s disproportionate impact on refugee, immigrant, and migrant (RIM) communities. Although the National Academies Press Framework for Equitable Allocation of COVID-19 Vaccine provides recommendations for an equitable vaccine campaign, implementation remains. Practical considerations for vaccine rollout include identifying and overcoming barriers to vaccination among RIM communities. To identify barriers, information regarding vaccine beliefs and practices must be incorporated into the pandemic response. To overcome barriers, effective communication, convenience of care, and community engagement are essential. Taking these actions now can improve health among RIM communities.","author":[{"dropping-particle":"","family":"Thomas","given":"Christine M.","non-dropping-particle":"","parse-names":false,"suffix":""},{"dropping-particle":"","family":"Osterholm","given":"Michael T.","non-dropping-particle":"","parse-names":false,"suffix":""},{"dropping-particle":"","family":"Stauffer","given":"William M.","non-dropping-particle":"","parse-names":false,"suffix":""}],"container-title":"The American Journal of Tropical Medicine and Hygiene","id":"ITEM-1","issue":"2","issued":{"date-parts":[["2021","2","3"]]},"page":"433-435","title":"Critical Considerations for COVID-19 Vaccination of Refugees, Immigrants, and Migrants","type":"article-journal","volume":"104"},"uris":["http://www.mendeley.com/documents/?uuid=a0de0087-b6b1-4e4b-8977-048e7c67e14c"]}],"mendeley":{"formattedCitation":"&lt;sup&gt;69&lt;/sup&gt;","plainTextFormattedCitation":"69","previouslyFormattedCitation":"&lt;sup&gt;69&lt;/sup&gt;"},"properties":{"noteIndex":0},"schema":"https://github.com/citation-style-language/schema/raw/master/csl-citation.json"}</w:instrText>
            </w:r>
            <w:r w:rsidRPr="0011179A">
              <w:rPr>
                <w:rFonts w:ascii="Calibri" w:eastAsia="Calibri" w:hAnsi="Calibri" w:cs="Calibri"/>
                <w:i/>
                <w:color w:val="000000"/>
              </w:rPr>
              <w:fldChar w:fldCharType="separate"/>
            </w:r>
            <w:r w:rsidRPr="0011179A">
              <w:rPr>
                <w:rFonts w:ascii="Calibri" w:eastAsia="Calibri" w:hAnsi="Calibri" w:cs="Calibri"/>
                <w:noProof/>
                <w:color w:val="000000"/>
                <w:vertAlign w:val="superscript"/>
              </w:rPr>
              <w:t>69</w:t>
            </w:r>
            <w:r w:rsidRPr="0011179A">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D9994E4" w14:textId="77777777" w:rsidR="008D28BB" w:rsidRPr="0011179A" w:rsidRDefault="008D28BB" w:rsidP="000B3355">
            <w:pPr>
              <w:spacing w:after="0"/>
              <w:rPr>
                <w:rFonts w:ascii="Calibri" w:eastAsia="Calibri" w:hAnsi="Calibri" w:cs="Calibri"/>
                <w:i/>
                <w:color w:val="000000"/>
              </w:rPr>
            </w:pPr>
            <w:r w:rsidRPr="0011179A">
              <w:rPr>
                <w:rFonts w:ascii="Calibri" w:eastAsia="Calibri" w:hAnsi="Calibri" w:cs="Calibri"/>
                <w:i/>
                <w:color w:val="000000"/>
              </w:rPr>
              <w:t>Thomas, 2021a</w:t>
            </w:r>
          </w:p>
        </w:tc>
        <w:tc>
          <w:tcPr>
            <w:tcW w:w="509" w:type="dxa"/>
            <w:tcBorders>
              <w:top w:val="single" w:sz="4" w:space="0" w:color="000000"/>
              <w:left w:val="single" w:sz="12" w:space="0" w:color="000000"/>
              <w:bottom w:val="single" w:sz="4" w:space="0" w:color="000000"/>
            </w:tcBorders>
            <w:shd w:val="clear" w:color="auto" w:fill="auto"/>
            <w:vAlign w:val="center"/>
          </w:tcPr>
          <w:p w14:paraId="37F1E5F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5610076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3FF7D52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21B8120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D9780F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283C2E7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27CF932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614D05A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62DF94C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65AF1A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42557E93" w14:textId="77777777" w:rsidTr="000B3355">
        <w:trPr>
          <w:trHeight w:val="267"/>
        </w:trPr>
        <w:tc>
          <w:tcPr>
            <w:tcW w:w="546" w:type="dxa"/>
            <w:tcBorders>
              <w:top w:val="nil"/>
              <w:left w:val="nil"/>
              <w:bottom w:val="single" w:sz="4" w:space="0" w:color="000000"/>
              <w:right w:val="single" w:sz="4" w:space="0" w:color="000000"/>
            </w:tcBorders>
            <w:vAlign w:val="center"/>
          </w:tcPr>
          <w:p w14:paraId="387C7A21" w14:textId="77777777" w:rsidR="008D28BB" w:rsidRPr="0011179A" w:rsidRDefault="008D28BB" w:rsidP="000B3355">
            <w:pPr>
              <w:spacing w:after="0"/>
              <w:jc w:val="center"/>
              <w:rPr>
                <w:rFonts w:ascii="Calibri" w:eastAsia="Calibri" w:hAnsi="Calibri" w:cs="Calibri"/>
                <w:i/>
              </w:rPr>
            </w:pPr>
            <w:r w:rsidRPr="0011179A">
              <w:rPr>
                <w:rFonts w:ascii="Calibri" w:eastAsia="Calibri" w:hAnsi="Calibri" w:cs="Calibri"/>
                <w:i/>
              </w:rPr>
              <w:fldChar w:fldCharType="begin" w:fldLock="1"/>
            </w:r>
            <w:r w:rsidRPr="0011179A">
              <w:rPr>
                <w:rFonts w:ascii="Calibri" w:eastAsia="Calibri" w:hAnsi="Calibri" w:cs="Calibri"/>
                <w:i/>
              </w:rPr>
              <w:instrText>ADDIN CSL_CITATION {"citationItems":[{"id":"ITEM-1","itemData":{"DOI":"10.4269/ajtmh.20-1614","ISSN":"0002-9637","abstract":"As COVID-19 vaccines are distributed across the United States, it is essential to address the pandemic’s disproportionate impact on refugee, immigrant, and migrant (RIM) communities. Although the National Academies Press Framework for Equitable Allocation of COVID-19 Vaccine provides recommendations for an equitable vaccine campaign, implementation remains. Practical considerations for vaccine rollout include identifying and overcoming barriers to vaccination among RIM communities. To identify barriers, information regarding vaccine beliefs and practices must be incorporated into the pandemic response. To overcome barriers, effective communication, convenience of care, and community engagement are essential. Taking these actions now can improve health among RIM communities.","author":[{"dropping-particle":"","family":"Thomas","given":"Christine M.","non-dropping-particle":"","parse-names":false,"suffix":""},{"dropping-particle":"","family":"Osterholm","given":"Michael T.","non-dropping-particle":"","parse-names":false,"suffix":""},{"dropping-particle":"","family":"Stauffer","given":"William M.","non-dropping-particle":"","parse-names":false,"suffix":""}],"container-title":"The American Journal of Tropical Medicine and Hygiene","id":"ITEM-1","issue":"2","issued":{"date-parts":[["2021","2","3"]]},"page":"433-435","title":"Critical Considerations for COVID-19 Vaccination of Refugees, Immigrants, and Migrants","type":"article-journal","volume":"104"},"uris":["http://www.mendeley.com/documents/?uuid=a0de0087-b6b1-4e4b-8977-048e7c67e14c"]}],"mendeley":{"formattedCitation":"&lt;sup&gt;69&lt;/sup&gt;","plainTextFormattedCitation":"69","previouslyFormattedCitation":"&lt;sup&gt;69&lt;/sup&gt;"},"properties":{"noteIndex":0},"schema":"https://github.com/citation-style-language/schema/raw/master/csl-citation.json"}</w:instrText>
            </w:r>
            <w:r w:rsidRPr="0011179A">
              <w:rPr>
                <w:rFonts w:ascii="Calibri" w:eastAsia="Calibri" w:hAnsi="Calibri" w:cs="Calibri"/>
                <w:i/>
              </w:rPr>
              <w:fldChar w:fldCharType="separate"/>
            </w:r>
            <w:r w:rsidRPr="0011179A">
              <w:rPr>
                <w:rFonts w:ascii="Calibri" w:eastAsia="Calibri" w:hAnsi="Calibri" w:cs="Calibri"/>
                <w:noProof/>
                <w:vertAlign w:val="superscript"/>
              </w:rPr>
              <w:t>69</w:t>
            </w:r>
            <w:r w:rsidRPr="0011179A">
              <w:rPr>
                <w:rFonts w:ascii="Calibri" w:eastAsia="Calibri" w:hAnsi="Calibri" w:cs="Calibri"/>
                <w:i/>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A6625FF" w14:textId="77777777" w:rsidR="008D28BB" w:rsidRPr="0011179A" w:rsidRDefault="008D28BB" w:rsidP="000B3355">
            <w:pPr>
              <w:spacing w:after="0"/>
              <w:rPr>
                <w:rFonts w:ascii="Calibri" w:eastAsia="Calibri" w:hAnsi="Calibri" w:cs="Calibri"/>
                <w:i/>
              </w:rPr>
            </w:pPr>
            <w:r w:rsidRPr="0011179A">
              <w:rPr>
                <w:rFonts w:ascii="Calibri" w:eastAsia="Calibri" w:hAnsi="Calibri" w:cs="Calibri"/>
                <w:i/>
              </w:rPr>
              <w:t>Thomas, 2021b</w:t>
            </w:r>
          </w:p>
        </w:tc>
        <w:tc>
          <w:tcPr>
            <w:tcW w:w="509" w:type="dxa"/>
            <w:tcBorders>
              <w:top w:val="single" w:sz="4" w:space="0" w:color="000000"/>
              <w:left w:val="single" w:sz="12" w:space="0" w:color="000000"/>
              <w:bottom w:val="single" w:sz="4" w:space="0" w:color="000000"/>
            </w:tcBorders>
            <w:shd w:val="clear" w:color="auto" w:fill="auto"/>
            <w:vAlign w:val="center"/>
          </w:tcPr>
          <w:p w14:paraId="5BCC7197"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595" w:type="dxa"/>
            <w:tcBorders>
              <w:top w:val="single" w:sz="4" w:space="0" w:color="000000"/>
              <w:bottom w:val="single" w:sz="4" w:space="0" w:color="000000"/>
              <w:right w:val="single" w:sz="4" w:space="0" w:color="000000"/>
            </w:tcBorders>
            <w:shd w:val="clear" w:color="auto" w:fill="auto"/>
            <w:vAlign w:val="center"/>
          </w:tcPr>
          <w:p w14:paraId="4D2E926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0EB396D8"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24" w:type="dxa"/>
            <w:tcBorders>
              <w:top w:val="single" w:sz="4" w:space="0" w:color="000000"/>
              <w:bottom w:val="single" w:sz="4" w:space="0" w:color="000000"/>
              <w:right w:val="single" w:sz="4" w:space="0" w:color="000000"/>
            </w:tcBorders>
            <w:shd w:val="clear" w:color="auto" w:fill="auto"/>
            <w:vAlign w:val="center"/>
          </w:tcPr>
          <w:p w14:paraId="1AAEA80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396FBF13"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547" w:type="dxa"/>
            <w:tcBorders>
              <w:top w:val="single" w:sz="4" w:space="0" w:color="000000"/>
              <w:bottom w:val="single" w:sz="4" w:space="0" w:color="000000"/>
              <w:right w:val="single" w:sz="4" w:space="0" w:color="000000"/>
            </w:tcBorders>
            <w:shd w:val="clear" w:color="auto" w:fill="auto"/>
            <w:vAlign w:val="center"/>
          </w:tcPr>
          <w:p w14:paraId="0F0202C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5B31AC6A"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57" w:type="dxa"/>
            <w:tcBorders>
              <w:top w:val="single" w:sz="4" w:space="0" w:color="000000"/>
              <w:bottom w:val="single" w:sz="4" w:space="0" w:color="000000"/>
              <w:right w:val="single" w:sz="4" w:space="0" w:color="000000"/>
            </w:tcBorders>
            <w:shd w:val="clear" w:color="auto" w:fill="auto"/>
            <w:vAlign w:val="center"/>
          </w:tcPr>
          <w:p w14:paraId="1BB03EB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362D503"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39" w:type="dxa"/>
            <w:tcBorders>
              <w:top w:val="single" w:sz="4" w:space="0" w:color="000000"/>
              <w:bottom w:val="single" w:sz="4" w:space="0" w:color="000000"/>
              <w:right w:val="nil"/>
            </w:tcBorders>
            <w:shd w:val="clear" w:color="auto" w:fill="auto"/>
            <w:vAlign w:val="center"/>
          </w:tcPr>
          <w:p w14:paraId="1192A87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192D0DB4" w14:textId="77777777" w:rsidTr="000B3355">
        <w:trPr>
          <w:trHeight w:val="267"/>
        </w:trPr>
        <w:tc>
          <w:tcPr>
            <w:tcW w:w="546" w:type="dxa"/>
            <w:tcBorders>
              <w:top w:val="nil"/>
              <w:left w:val="nil"/>
              <w:bottom w:val="single" w:sz="4" w:space="0" w:color="000000"/>
              <w:right w:val="single" w:sz="4" w:space="0" w:color="000000"/>
            </w:tcBorders>
            <w:vAlign w:val="center"/>
          </w:tcPr>
          <w:p w14:paraId="64E5A0B8"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{"citationItems":[{"id":"ITEM-1","itemData":{"DOI":"10.1016/j.healthpol.2020.12.010","ISSN":"01688510","author":[{"dropping-particle":"","family":"Tosti","given":"Maria Elena","non-dropping-particle":"","parse-names":false,"suffix":""},{"dropping-particle":"","family":"Marceca","given":"Maurizio","non-dropping-particle":"","parse-names":false,"suffix":""},{"dropping-particle":"","family":"Eugeni","given":"Erica","non-dropping-particle":"","parse-names":false,"suffix":""},{"dropping-particle":"","family":"D’Angelo","given":"Franca","non-dropping-particle":"","parse-names":false,"suffix":""},{"dropping-particle":"","family":"Geraci","given":"Salvatore","non-dropping-particle":"","parse-names":false,"suffix":""},{"dropping-particle":"","family":"Declich","given":"Silvia","non-dropping-particle":"","parse-names":false,"suffix":""},{"dropping-particle":"","family":"Seta","given":"Maurella","non-dropping-particle":"Della","parse-names":false,"suffix":""},{"dropping-particle":"","family":"Ferrigno","given":"Luigina","non-dropping-particle":"","parse-names":false,"suffix":""},{"dropping-particle":"","family":"Marrone","given":"Rosalia","non-dropping-particle":"","parse-names":false,"suffix":""},{"dropping-particle":"","family":"Pajno","given":"Chiara","non-dropping-particle":"","parse-names":false,"suffix":""},{"dropping-particle":"","family":"Pizzarelli","given":"Scilla","non-dropping-particle":"","parse-names":false,"suffix":""},{"dropping-particle":"","family":"Rosso","given":"Annalisa","non-dropping-particle":"","parse-names":false,"suffix":""},{"dropping-particle":"","family":"Ponte","given":"Giulia","non-dropping-particle":"De","parse-names":false,"suffix":""},{"dropping-particle":"","family":"Mirisola","given":"Concetta","non-dropping-particle":"","parse-names":false,"suffix":""},{"dropping-particle":"","family":"Baglio","given":"Giovanni","non-dropping-particle":"","parse-names":false,"suffix":""}],"container-title":"Health Policy","id":"ITEM-1","issue":"3","issued":{"date-parts":[["2021","3"]]},"page":"393-405","title":"Health assessment for migrants and asylum seekers upon arrival and while hosted in reception centres: Italian guidelines","type":"article-journal","volume":"125"},"uris":["http://www.mendeley.com/documents/?uuid=b99c8d6f-f537-4906-a5e1-0294521c8cc1"]}],"mendeley":{"formattedCitation":"&lt;sup&gt;70&lt;/sup&gt;","plainTextFormattedCitation":"70","previouslyFormattedCitation":"&lt;sup&gt;70&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70</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5853B272" w14:textId="77777777" w:rsidR="008D28BB" w:rsidRPr="00D51E20" w:rsidRDefault="008D28BB" w:rsidP="000B3355">
            <w:pPr>
              <w:spacing w:after="0"/>
              <w:rPr>
                <w:rFonts w:ascii="Calibri" w:eastAsia="Calibri" w:hAnsi="Calibri" w:cs="Calibri"/>
                <w:i/>
                <w:color w:val="000000"/>
              </w:rPr>
            </w:pPr>
            <w:proofErr w:type="spellStart"/>
            <w:r w:rsidRPr="00D51E20">
              <w:rPr>
                <w:rFonts w:ascii="Calibri" w:eastAsia="Calibri" w:hAnsi="Calibri" w:cs="Calibri"/>
                <w:i/>
                <w:color w:val="000000"/>
              </w:rPr>
              <w:t>Tosti</w:t>
            </w:r>
            <w:proofErr w:type="spellEnd"/>
            <w:r w:rsidRPr="00D51E20">
              <w:rPr>
                <w:rFonts w:ascii="Calibri" w:eastAsia="Calibri" w:hAnsi="Calibri" w:cs="Calibri"/>
                <w:i/>
                <w:color w:val="000000"/>
              </w:rPr>
              <w:t>, 2021</w:t>
            </w:r>
          </w:p>
        </w:tc>
        <w:tc>
          <w:tcPr>
            <w:tcW w:w="509" w:type="dxa"/>
            <w:tcBorders>
              <w:top w:val="single" w:sz="4" w:space="0" w:color="000000"/>
              <w:left w:val="single" w:sz="12" w:space="0" w:color="000000"/>
              <w:bottom w:val="single" w:sz="4" w:space="0" w:color="000000"/>
            </w:tcBorders>
            <w:shd w:val="clear" w:color="auto" w:fill="auto"/>
            <w:vAlign w:val="center"/>
          </w:tcPr>
          <w:p w14:paraId="1DF1A61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5A7CAE2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7C32993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C2C948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154B6FF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0A12230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74D793E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0D51A0C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F92551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7BD7999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rsidRPr="007D4BDC" w14:paraId="52625392" w14:textId="77777777" w:rsidTr="000B3355">
        <w:trPr>
          <w:trHeight w:val="267"/>
        </w:trPr>
        <w:tc>
          <w:tcPr>
            <w:tcW w:w="546" w:type="dxa"/>
            <w:tcBorders>
              <w:top w:val="nil"/>
              <w:left w:val="nil"/>
              <w:bottom w:val="single" w:sz="4" w:space="0" w:color="000000"/>
              <w:right w:val="single" w:sz="4" w:space="0" w:color="000000"/>
            </w:tcBorders>
            <w:vAlign w:val="center"/>
          </w:tcPr>
          <w:p w14:paraId="70737AFE" w14:textId="77777777" w:rsidR="008D28BB" w:rsidRPr="00D51E20" w:rsidRDefault="008D28BB" w:rsidP="000B3355">
            <w:pPr>
              <w:spacing w:after="0"/>
              <w:jc w:val="center"/>
              <w:rPr>
                <w:rFonts w:ascii="Calibri" w:eastAsia="Calibri" w:hAnsi="Calibri" w:cs="Calibri"/>
                <w:i/>
                <w:color w:val="000000"/>
                <w:lang w:val="it-IT"/>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{"citationItems":[{"id":"ITEM-1","itemData":{"DOI":"10.3855/jidc.11815","ISSN":"1972-2680","abstract":"Introduction: Control of vaccine preventable diseases, while constituting a priority of European health policies, is challenged by migrations from countries with suboptimal levels of immunization coverage. We report here two different types of vaccination campaign strategy in one of the bigger Italian asylum seekers’ centres. The vaccination service staff of the local national health institute came monthly during the first three years of observation, while in the last year, the vaccinations were offered directly upon arrival of migrants in the asylum seekers’ centre. Methodology: we performed a descriptive cross-sectional study that analysed data collected from the database of the internal healthcare facility and ARVA Target tool, regarding vaccinations performed from 2013 to 2017 in the asylum seekers’ centre. Results: In the four years of observation period the asylum seekers centre hosted 3941 migrants. Among them, 85% were vaccinated during their stay, for a total of 4252 vaccinations administered, covering 95% of minors and 85% of adults. During the study period, there was an important increase from an average of 10.5% of migrants vaccinated in the first three years to 66% in the last year, when vaccines were delivered directly upon arrival in the centre. Conclusions: To improve the rate of immunization in migrants, the first requirement is a strong collaboration with the local vaccine services and the second,vaccinations must be carried out when migrants arrive at the asylum seekers’ centre, avoiding any delay.","author":[{"dropping-particle":"","family":"Vita","given":"Serena","non-dropping-particle":"","parse-names":false,"suffix":""},{"dropping-particle":"","family":"Sinopoli","given":"Maria Teresa","non-dropping-particle":"","parse-names":false,"suffix":""},{"dropping-particle":"","family":"Fontanelli Sulekova","given":"Lucia","non-dropping-particle":"","parse-names":false,"suffix":""},{"dropping-particle":"","family":"Morucci","given":"Luca","non-dropping-particle":"","parse-names":false,"suffix":""},{"dropping-particle":"","family":"Lopalco","given":"Maurizio","non-dropping-particle":"","parse-names":false,"suffix":""},{"dropping-particle":"","family":"Spaziante","given":"Martina","non-dropping-particle":"","parse-names":false,"suffix":""},{"dropping-particle":"","family":"Pacifici","given":"Laura Elena","non-dropping-particle":"","parse-names":false,"suffix":""},{"dropping-particle":"","family":"Bazzardi","given":"Riccardo","non-dropping-particle":"","parse-names":false,"suffix":""},{"dropping-particle":"","family":"Angeletti","given":"Silvia","non-dropping-particle":"","parse-names":false,"suffix":""},{"dropping-particle":"","family":"Ciccozzi","given":"Massimo","non-dropping-particle":"","parse-names":false,"suffix":""},{"dropping-particle":"","family":"Ceccarelli","given":"Giancarlo","non-dropping-particle":"","parse-names":false,"suffix":""}],"container-title":"The Journal of Infection in Developing Countries","id":"ITEM-1","issue":"12","issued":{"date-parts":[["2019","12","31"]]},"page":"1159-1164","title":"Vaccination campaign strategies in recently arrived migrants: experience of an Italian reception centre","type":"article-journal","volume":"13"},"uris":["http://www.mendeley.com/documents/?uuid=872757be-8520-49f4-874a-37fea610ba50"]}],"mendeley":{"formattedCitation":"&lt;sup&gt;71&lt;/sup&gt;","plainTextFormattedCitation":"71","previouslyFormattedCitation":"&lt;sup&gt;71&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lang w:val="it-IT"/>
              </w:rPr>
              <w:t>71</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94262DA" w14:textId="77777777" w:rsidR="008D28BB" w:rsidRPr="00D51E20" w:rsidRDefault="008D28BB" w:rsidP="000B3355">
            <w:pPr>
              <w:spacing w:after="0"/>
              <w:rPr>
                <w:rFonts w:ascii="Calibri" w:eastAsia="Calibri" w:hAnsi="Calibri" w:cs="Calibri"/>
                <w:i/>
                <w:color w:val="000000"/>
                <w:lang w:val="it-IT"/>
              </w:rPr>
            </w:pPr>
            <w:r w:rsidRPr="00D51E20">
              <w:rPr>
                <w:rFonts w:ascii="Calibri" w:eastAsia="Calibri" w:hAnsi="Calibri" w:cs="Calibri"/>
                <w:i/>
                <w:color w:val="000000"/>
                <w:lang w:val="it-IT"/>
              </w:rPr>
              <w:t>Vita, 2019</w:t>
            </w:r>
          </w:p>
        </w:tc>
        <w:tc>
          <w:tcPr>
            <w:tcW w:w="509" w:type="dxa"/>
            <w:tcBorders>
              <w:top w:val="single" w:sz="4" w:space="0" w:color="000000"/>
              <w:left w:val="single" w:sz="12" w:space="0" w:color="000000"/>
              <w:bottom w:val="single" w:sz="4" w:space="0" w:color="000000"/>
            </w:tcBorders>
            <w:shd w:val="clear" w:color="auto" w:fill="auto"/>
            <w:vAlign w:val="center"/>
          </w:tcPr>
          <w:p w14:paraId="22D71359"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300E021E"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24740900"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24" w:type="dxa"/>
            <w:tcBorders>
              <w:top w:val="single" w:sz="4" w:space="0" w:color="000000"/>
              <w:bottom w:val="single" w:sz="4" w:space="0" w:color="000000"/>
              <w:right w:val="single" w:sz="4" w:space="0" w:color="000000"/>
            </w:tcBorders>
            <w:shd w:val="clear" w:color="auto" w:fill="auto"/>
            <w:vAlign w:val="center"/>
          </w:tcPr>
          <w:p w14:paraId="1289FF26"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530E067B"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547" w:type="dxa"/>
            <w:tcBorders>
              <w:top w:val="single" w:sz="4" w:space="0" w:color="000000"/>
              <w:bottom w:val="single" w:sz="4" w:space="0" w:color="000000"/>
              <w:right w:val="single" w:sz="4" w:space="0" w:color="000000"/>
            </w:tcBorders>
            <w:shd w:val="clear" w:color="auto" w:fill="auto"/>
            <w:vAlign w:val="center"/>
          </w:tcPr>
          <w:p w14:paraId="5C1B86EE"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62" w:type="dxa"/>
            <w:tcBorders>
              <w:top w:val="single" w:sz="4" w:space="0" w:color="000000"/>
              <w:left w:val="single" w:sz="4" w:space="0" w:color="000000"/>
              <w:bottom w:val="single" w:sz="4" w:space="0" w:color="000000"/>
            </w:tcBorders>
            <w:shd w:val="clear" w:color="auto" w:fill="auto"/>
            <w:vAlign w:val="center"/>
          </w:tcPr>
          <w:p w14:paraId="27144808"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57" w:type="dxa"/>
            <w:tcBorders>
              <w:top w:val="single" w:sz="4" w:space="0" w:color="000000"/>
              <w:bottom w:val="single" w:sz="4" w:space="0" w:color="000000"/>
              <w:right w:val="single" w:sz="4" w:space="0" w:color="000000"/>
            </w:tcBorders>
            <w:shd w:val="clear" w:color="auto" w:fill="auto"/>
            <w:vAlign w:val="center"/>
          </w:tcPr>
          <w:p w14:paraId="501C2024"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o</w:t>
            </w:r>
          </w:p>
        </w:tc>
        <w:tc>
          <w:tcPr>
            <w:tcW w:w="472" w:type="dxa"/>
            <w:tcBorders>
              <w:top w:val="single" w:sz="4" w:space="0" w:color="000000"/>
              <w:left w:val="single" w:sz="4" w:space="0" w:color="000000"/>
              <w:bottom w:val="single" w:sz="4" w:space="0" w:color="000000"/>
            </w:tcBorders>
            <w:shd w:val="clear" w:color="auto" w:fill="auto"/>
            <w:vAlign w:val="center"/>
          </w:tcPr>
          <w:p w14:paraId="6209D89F"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39" w:type="dxa"/>
            <w:tcBorders>
              <w:top w:val="single" w:sz="4" w:space="0" w:color="000000"/>
              <w:bottom w:val="single" w:sz="4" w:space="0" w:color="000000"/>
              <w:right w:val="nil"/>
            </w:tcBorders>
            <w:shd w:val="clear" w:color="auto" w:fill="auto"/>
            <w:vAlign w:val="center"/>
          </w:tcPr>
          <w:p w14:paraId="2EC839E8"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r>
      <w:tr w:rsidR="008D28BB" w:rsidRPr="007D4BDC" w14:paraId="170D14D0" w14:textId="77777777" w:rsidTr="000B3355">
        <w:trPr>
          <w:trHeight w:val="267"/>
        </w:trPr>
        <w:tc>
          <w:tcPr>
            <w:tcW w:w="546" w:type="dxa"/>
            <w:tcBorders>
              <w:top w:val="nil"/>
              <w:left w:val="nil"/>
              <w:bottom w:val="single" w:sz="4" w:space="0" w:color="000000"/>
              <w:right w:val="single" w:sz="4" w:space="0" w:color="000000"/>
            </w:tcBorders>
            <w:vAlign w:val="center"/>
          </w:tcPr>
          <w:p w14:paraId="212CDD29" w14:textId="77777777" w:rsidR="008D28BB" w:rsidRPr="00D51E20" w:rsidRDefault="008D28BB" w:rsidP="000B3355">
            <w:pPr>
              <w:spacing w:after="0"/>
              <w:jc w:val="center"/>
              <w:rPr>
                <w:rFonts w:ascii="Calibri" w:eastAsia="Calibri" w:hAnsi="Calibri" w:cs="Calibri"/>
                <w:i/>
                <w:color w:val="000000"/>
                <w:lang w:val="it-IT"/>
              </w:rPr>
            </w:pPr>
            <w:r w:rsidRPr="00D51E20">
              <w:rPr>
                <w:rFonts w:ascii="Calibri" w:eastAsia="Calibri" w:hAnsi="Calibri" w:cs="Calibri"/>
                <w:i/>
                <w:color w:val="000000"/>
              </w:rPr>
              <w:fldChar w:fldCharType="begin" w:fldLock="1"/>
            </w:r>
            <w:r w:rsidRPr="00D51E20">
              <w:rPr>
                <w:rFonts w:ascii="Calibri" w:eastAsia="Calibri" w:hAnsi="Calibri" w:cs="Calibri"/>
                <w:i/>
                <w:color w:val="000000"/>
                <w:lang w:val="it-IT"/>
              </w:rPr>
              <w:instrText>ADDIN CSL_CITATION {"citationItems":[{"id":"ITEM-1","itemData":{"author":[{"dropping-particle":"","family":"WHO-UNICEF","given":"","non-dropping-particle":"","parse-names":false,"suffix":""}],"id":"ITEM-1","issued":{"date-parts":[["2021"]]},"title":"Guidance on developing a national deployment and vaccination plan for COVID-19 vaccines: interim guidance","type":"report"},"uris":["http://www.mendeley.com/documents/?uuid=c297610a-ece8-454b-bb07-7d41ca8cd39f"]}],"mendeley":{"formattedCitation":"&lt;sup&gt;72&lt;/sup&gt;","plainTextFormattedCitation":"72","previouslyFormattedCitation":"&lt;sup&gt;72&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lang w:val="it-IT"/>
              </w:rPr>
              <w:t>72</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512D2E8F" w14:textId="77777777" w:rsidR="008D28BB" w:rsidRPr="00D51E20" w:rsidRDefault="008D28BB" w:rsidP="000B3355">
            <w:pPr>
              <w:spacing w:after="0"/>
              <w:rPr>
                <w:rFonts w:ascii="Calibri" w:eastAsia="Calibri" w:hAnsi="Calibri" w:cs="Calibri"/>
                <w:i/>
                <w:color w:val="000000"/>
                <w:lang w:val="it-IT"/>
              </w:rPr>
            </w:pPr>
            <w:r w:rsidRPr="00D51E20">
              <w:rPr>
                <w:rFonts w:ascii="Calibri" w:eastAsia="Calibri" w:hAnsi="Calibri" w:cs="Calibri"/>
                <w:i/>
                <w:color w:val="000000"/>
                <w:lang w:val="it-IT"/>
              </w:rPr>
              <w:t>WHO-UNICEF, 2021</w:t>
            </w:r>
          </w:p>
        </w:tc>
        <w:tc>
          <w:tcPr>
            <w:tcW w:w="509" w:type="dxa"/>
            <w:tcBorders>
              <w:top w:val="single" w:sz="4" w:space="0" w:color="000000"/>
              <w:left w:val="single" w:sz="12" w:space="0" w:color="000000"/>
              <w:bottom w:val="single" w:sz="4" w:space="0" w:color="000000"/>
            </w:tcBorders>
            <w:shd w:val="clear" w:color="auto" w:fill="auto"/>
            <w:vAlign w:val="center"/>
          </w:tcPr>
          <w:p w14:paraId="4D5FF46C"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95" w:type="dxa"/>
            <w:tcBorders>
              <w:top w:val="single" w:sz="4" w:space="0" w:color="000000"/>
              <w:bottom w:val="single" w:sz="4" w:space="0" w:color="000000"/>
              <w:right w:val="single" w:sz="4" w:space="0" w:color="000000"/>
            </w:tcBorders>
            <w:shd w:val="clear" w:color="auto" w:fill="auto"/>
            <w:vAlign w:val="center"/>
          </w:tcPr>
          <w:p w14:paraId="7530B038"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35" w:type="dxa"/>
            <w:tcBorders>
              <w:top w:val="single" w:sz="4" w:space="0" w:color="000000"/>
              <w:left w:val="single" w:sz="4" w:space="0" w:color="000000"/>
              <w:bottom w:val="single" w:sz="4" w:space="0" w:color="000000"/>
            </w:tcBorders>
            <w:shd w:val="clear" w:color="auto" w:fill="auto"/>
            <w:vAlign w:val="center"/>
          </w:tcPr>
          <w:p w14:paraId="67E53E24"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24" w:type="dxa"/>
            <w:tcBorders>
              <w:top w:val="single" w:sz="4" w:space="0" w:color="000000"/>
              <w:bottom w:val="single" w:sz="4" w:space="0" w:color="000000"/>
              <w:right w:val="single" w:sz="4" w:space="0" w:color="000000"/>
            </w:tcBorders>
            <w:shd w:val="clear" w:color="auto" w:fill="auto"/>
            <w:vAlign w:val="center"/>
          </w:tcPr>
          <w:p w14:paraId="608DD733"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3C859D7D"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547" w:type="dxa"/>
            <w:tcBorders>
              <w:top w:val="single" w:sz="4" w:space="0" w:color="000000"/>
              <w:bottom w:val="single" w:sz="4" w:space="0" w:color="000000"/>
              <w:right w:val="single" w:sz="4" w:space="0" w:color="000000"/>
            </w:tcBorders>
            <w:shd w:val="clear" w:color="auto" w:fill="auto"/>
            <w:vAlign w:val="center"/>
          </w:tcPr>
          <w:p w14:paraId="6CF795B4"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562" w:type="dxa"/>
            <w:tcBorders>
              <w:top w:val="single" w:sz="4" w:space="0" w:color="000000"/>
              <w:left w:val="single" w:sz="4" w:space="0" w:color="000000"/>
              <w:bottom w:val="single" w:sz="4" w:space="0" w:color="000000"/>
            </w:tcBorders>
            <w:shd w:val="clear" w:color="auto" w:fill="auto"/>
            <w:vAlign w:val="center"/>
          </w:tcPr>
          <w:p w14:paraId="71371DAA"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x</w:t>
            </w:r>
          </w:p>
        </w:tc>
        <w:tc>
          <w:tcPr>
            <w:tcW w:w="657" w:type="dxa"/>
            <w:tcBorders>
              <w:top w:val="single" w:sz="4" w:space="0" w:color="000000"/>
              <w:bottom w:val="single" w:sz="4" w:space="0" w:color="000000"/>
              <w:right w:val="single" w:sz="4" w:space="0" w:color="000000"/>
            </w:tcBorders>
            <w:shd w:val="clear" w:color="auto" w:fill="auto"/>
            <w:vAlign w:val="center"/>
          </w:tcPr>
          <w:p w14:paraId="6A79E596"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c>
          <w:tcPr>
            <w:tcW w:w="472" w:type="dxa"/>
            <w:tcBorders>
              <w:top w:val="single" w:sz="4" w:space="0" w:color="000000"/>
              <w:left w:val="single" w:sz="4" w:space="0" w:color="000000"/>
              <w:bottom w:val="single" w:sz="4" w:space="0" w:color="000000"/>
            </w:tcBorders>
            <w:shd w:val="clear" w:color="auto" w:fill="auto"/>
            <w:vAlign w:val="center"/>
          </w:tcPr>
          <w:p w14:paraId="61699BCF" w14:textId="77777777" w:rsidR="008D28BB" w:rsidRPr="007D4BDC" w:rsidRDefault="008D28BB" w:rsidP="000B3355">
            <w:pPr>
              <w:spacing w:after="0"/>
              <w:jc w:val="right"/>
              <w:rPr>
                <w:rFonts w:ascii="Calibri" w:eastAsia="Calibri" w:hAnsi="Calibri" w:cs="Calibri"/>
                <w:color w:val="000000"/>
                <w:lang w:val="it-IT"/>
              </w:rPr>
            </w:pPr>
            <w:r w:rsidRPr="007D4BDC">
              <w:rPr>
                <w:rFonts w:ascii="Calibri" w:eastAsia="Calibri" w:hAnsi="Calibri" w:cs="Calibri"/>
                <w:color w:val="000000"/>
                <w:lang w:val="it-IT"/>
              </w:rPr>
              <w:t> </w:t>
            </w:r>
          </w:p>
        </w:tc>
        <w:tc>
          <w:tcPr>
            <w:tcW w:w="639" w:type="dxa"/>
            <w:tcBorders>
              <w:top w:val="single" w:sz="4" w:space="0" w:color="000000"/>
              <w:bottom w:val="single" w:sz="4" w:space="0" w:color="000000"/>
              <w:right w:val="nil"/>
            </w:tcBorders>
            <w:shd w:val="clear" w:color="auto" w:fill="auto"/>
            <w:vAlign w:val="center"/>
          </w:tcPr>
          <w:p w14:paraId="2B8B38C1" w14:textId="77777777" w:rsidR="008D28BB" w:rsidRPr="007D4BDC" w:rsidRDefault="008D28BB" w:rsidP="000B3355">
            <w:pPr>
              <w:spacing w:after="0"/>
              <w:rPr>
                <w:rFonts w:ascii="Calibri" w:eastAsia="Calibri" w:hAnsi="Calibri" w:cs="Calibri"/>
                <w:color w:val="000000"/>
                <w:lang w:val="it-IT"/>
              </w:rPr>
            </w:pPr>
            <w:r w:rsidRPr="007D4BDC">
              <w:rPr>
                <w:rFonts w:ascii="Calibri" w:eastAsia="Calibri" w:hAnsi="Calibri" w:cs="Calibri"/>
                <w:color w:val="000000"/>
                <w:lang w:val="it-IT"/>
              </w:rPr>
              <w:t> </w:t>
            </w:r>
          </w:p>
        </w:tc>
      </w:tr>
      <w:tr w:rsidR="008D28BB" w14:paraId="3CB752B8" w14:textId="77777777" w:rsidTr="000B3355">
        <w:trPr>
          <w:trHeight w:val="267"/>
        </w:trPr>
        <w:tc>
          <w:tcPr>
            <w:tcW w:w="546" w:type="dxa"/>
            <w:tcBorders>
              <w:top w:val="nil"/>
              <w:left w:val="nil"/>
              <w:bottom w:val="single" w:sz="4" w:space="0" w:color="000000"/>
              <w:right w:val="single" w:sz="4" w:space="0" w:color="000000"/>
            </w:tcBorders>
            <w:vAlign w:val="center"/>
          </w:tcPr>
          <w:p w14:paraId="6BE43B16"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lang w:val="it-IT"/>
              </w:rPr>
              <w:instrText>ADDIN CSL_CITATION {"citationItems":[{"id":"ITEM-1","itemData":{"author":[{"dropping-particle":"","family":"WHO-UNHCR-UNICEF","given":"","non-dropping-particle":"","parse-names":false,"suffix":""}],"id":"ITEM-1","issued":{"date-parts":[["2015"]]},"title":"Joint Statement on general principles on vaccination of refugees, asylum-seekers and migrants in the WHO European Region","type":"report"},"uris":["http://www.mendeley.com/documents/?uuid=9d05f9d6-8c0f-40e4-8340-ee3b689f8313"]}],"mendeley":{"formattedCitation":"&lt;sup&gt;73&lt;/sup&gt;","plainTextFormattedCitation":"73","previouslyFormattedCitation":"&lt;sup&gt;73&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73</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2DBBBECB"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WHO-UNHCR-UNICEF, 2015</w:t>
            </w:r>
          </w:p>
        </w:tc>
        <w:tc>
          <w:tcPr>
            <w:tcW w:w="509" w:type="dxa"/>
            <w:tcBorders>
              <w:top w:val="single" w:sz="4" w:space="0" w:color="000000"/>
              <w:left w:val="single" w:sz="12" w:space="0" w:color="000000"/>
              <w:bottom w:val="single" w:sz="4" w:space="0" w:color="000000"/>
            </w:tcBorders>
            <w:shd w:val="clear" w:color="auto" w:fill="auto"/>
            <w:vAlign w:val="center"/>
          </w:tcPr>
          <w:p w14:paraId="169338B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28F32BC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4" w:space="0" w:color="000000"/>
            </w:tcBorders>
            <w:shd w:val="clear" w:color="auto" w:fill="auto"/>
            <w:vAlign w:val="center"/>
          </w:tcPr>
          <w:p w14:paraId="13E2673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6F9DF26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196A5D2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20853A8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322302D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0430DBF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6173F8E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920DC7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7239C0BB" w14:textId="77777777" w:rsidTr="000B3355">
        <w:trPr>
          <w:trHeight w:val="267"/>
        </w:trPr>
        <w:tc>
          <w:tcPr>
            <w:tcW w:w="546" w:type="dxa"/>
            <w:tcBorders>
              <w:top w:val="nil"/>
              <w:left w:val="nil"/>
              <w:bottom w:val="single" w:sz="4" w:space="0" w:color="000000"/>
              <w:right w:val="single" w:sz="4" w:space="0" w:color="000000"/>
            </w:tcBorders>
            <w:vAlign w:val="center"/>
          </w:tcPr>
          <w:p w14:paraId="5FED363B"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{"citationItems":[{"id":"ITEM-1","itemData":{"DOI":"10.1177/1403494815610182","ISSN":"1403-4948","abstract":"Aims: Progress towards meeting the goal of measles elimination in the EU and the European Economic Area (EEA) by 2015 is being obstructed, as some children are either not immunized on time or never immunized. One group thought to be at increased risk of measles is migrants; however, the extent to which this is the case is poorly understood, due to a lack of data. This paper addresses this evidence gap by providing an overview of the burden of measles in migrant populations in the EU/EEA. Methods: Data were collected through a comprehensive literature review, a country survey of EU/EEA member states and information from measles experts gathered at an infectious disease workshop. Results: Our results showed incomplete data on measles in migrant populations, as national surveillance systems do not systematically record migration-specific information; however, evidence from the literature review and country survey suggested that some measles outbreaks in the EU/EEA were due to sub-optimal vaccination coverage in migrant populations. Conclusions: We conclude that it is essential that routine surveillance of measles cases and measles, mumps and rubella (MMR) vaccination coverage become strengthened, to capture migrant-specific data. These data can help to inform the provision of preventive services, which may need to reach out to vulnerable migrant populations that currently face barriers in accessing routine immunization and health services.","author":[{"dropping-particle":"","family":"Williams","given":"Gemma A.","non-dropping-particle":"","parse-names":false,"suffix":""},{"dropping-particle":"","family":"Bacci","given":"Sabrina","non-dropping-particle":"","parse-names":false,"suffix":""},{"dropping-particle":"","family":"Shadwick","given":"Rebecca","non-dropping-particle":"","parse-names":false,"suffix":""},{"dropping-particle":"","family":"Tillmann","given":"Taavi","non-dropping-particle":"","parse-names":false,"suffix":""},{"dropping-particle":"","family":"Rechel","given":"Bernd","non-dropping-particle":"","parse-names":false,"suffix":""},{"dropping-particle":"","family":"Noori","given":"Teymur","non-dropping-particle":"","parse-names":false,"suffix":""},{"dropping-particle":"","family":"Suk","given":"Jonathan E.","non-dropping-particle":"","parse-names":false,"suffix":""},{"dropping-particle":"","family":"Odone","given":"Anna","non-dropping-particle":"","parse-names":false,"suffix":""},{"dropping-particle":"","family":"Ingleby","given":"Jonathan D.","non-dropping-particle":"","parse-names":false,"suffix":""},{"dropping-particle":"","family":"Mladovsky","given":"Philipa","non-dropping-particle":"","parse-names":false,"suffix":""},{"dropping-particle":"","family":"Mckee","given":"Martin","non-dropping-particle":"","parse-names":false,"suffix":""}],"container-title":"Scandinavian Journal of Public Health","id":"ITEM-1","issue":"1","issued":{"date-parts":[["2016","2","12"]]},"page":"6-13","title":"Measles among migrants in the European Union and the European Economic Area","type":"article-journal","volume":"44"},"uris":["http://www.mendeley.com/documents/?uuid=00e7e41e-8ebd-49ce-8af0-c86a7ec50d70"]}],"mendeley":{"formattedCitation":"&lt;sup&gt;74&lt;/sup&gt;","plainTextFormattedCitation":"74","previouslyFormattedCitation":"&lt;sup&gt;74&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74</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2A466A06"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Williams, 2016</w:t>
            </w:r>
          </w:p>
        </w:tc>
        <w:tc>
          <w:tcPr>
            <w:tcW w:w="509" w:type="dxa"/>
            <w:tcBorders>
              <w:top w:val="single" w:sz="4" w:space="0" w:color="000000"/>
              <w:left w:val="single" w:sz="12" w:space="0" w:color="000000"/>
              <w:bottom w:val="single" w:sz="4" w:space="0" w:color="000000"/>
            </w:tcBorders>
            <w:shd w:val="clear" w:color="auto" w:fill="auto"/>
            <w:vAlign w:val="center"/>
          </w:tcPr>
          <w:p w14:paraId="6A5E33E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3AFB23C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4F99505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47AC879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0DA0E6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08679D3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0A076DB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5A08254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058ABF9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6E45FB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025C270B" w14:textId="77777777" w:rsidTr="000B3355">
        <w:trPr>
          <w:trHeight w:val="267"/>
        </w:trPr>
        <w:tc>
          <w:tcPr>
            <w:tcW w:w="546" w:type="dxa"/>
            <w:tcBorders>
              <w:top w:val="nil"/>
              <w:left w:val="nil"/>
              <w:bottom w:val="single" w:sz="4" w:space="0" w:color="000000"/>
              <w:right w:val="single" w:sz="4" w:space="0" w:color="000000"/>
            </w:tcBorders>
            <w:vAlign w:val="center"/>
          </w:tcPr>
          <w:p w14:paraId="2CA3B56E"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10.1016/j.vaccine.2018.01.025","ISSN":"0264410X","author":[{"dropping-particle":"","family":"Wilson","given":"Lindsay","non-dropping-particle":"","parse-names":false,"suffix":""},{"dropping-particle":"","family":"Rubens-Augustson","given":"Taylor","non-dropping-particle":"","parse-names":false,"suffix":""},{"dropping-particle":"","family":"Murphy","given":"Malia","non-dropping-particle":"","parse-names":false,"suffix":""},{"dropping-particle":"","family":"Jardine","given":"Cindy","non-dropping-particle":"","parse-names":false,"suffix":""},{"dropping-particle":"","family":"Crowcroft","given":"Natasha","non-dropping-particle":"","parse-names":false,"suffix":""},{"dropping-particle":"","family":"Hui","given":"Charles","non-dropping-particle":"","parse-names":false,"suffix":""},{"dropping-particle":"","family":"Wilson","given":"Kumanan","non-dropping-particle":"","parse-names":false,"suffix":""}],"container-title":"Vaccine","id":"ITEM-1","issue":"8","issued":{"date-parts":[["2018","2"]]},"page":"1055-1062","title":"Barriers to immunization among newcomers: A systematic review","type":"article-journal","volume":"36"},"uris":["http://www.mendeley.com/documents/?uuid=420fe184-7ba0-4f83-9ba1-54841e396acb"]}],"mendeley":{"formattedCitation":"&lt;sup&gt;75&lt;/sup&gt;","plainTextFormattedCitation":"75","previouslyFormattedCitation":"&lt;sup&gt;75&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75</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F73FB3B"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Wilson, 2018</w:t>
            </w:r>
          </w:p>
        </w:tc>
        <w:tc>
          <w:tcPr>
            <w:tcW w:w="509" w:type="dxa"/>
            <w:tcBorders>
              <w:top w:val="single" w:sz="4" w:space="0" w:color="000000"/>
              <w:left w:val="single" w:sz="12" w:space="0" w:color="000000"/>
              <w:bottom w:val="single" w:sz="4" w:space="0" w:color="000000"/>
            </w:tcBorders>
            <w:shd w:val="clear" w:color="auto" w:fill="auto"/>
            <w:vAlign w:val="center"/>
          </w:tcPr>
          <w:p w14:paraId="3F79B7B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3B8A951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4E858AF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7431CF4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35E96F3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575C999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167C7B4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4091918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2B88E03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D0EF86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29B9740E" w14:textId="77777777" w:rsidTr="000B3355">
        <w:trPr>
          <w:trHeight w:val="267"/>
        </w:trPr>
        <w:tc>
          <w:tcPr>
            <w:tcW w:w="546" w:type="dxa"/>
            <w:tcBorders>
              <w:top w:val="nil"/>
              <w:left w:val="nil"/>
              <w:bottom w:val="single" w:sz="4" w:space="0" w:color="000000"/>
              <w:right w:val="single" w:sz="4" w:space="0" w:color="000000"/>
            </w:tcBorders>
            <w:vAlign w:val="center"/>
          </w:tcPr>
          <w:p w14:paraId="24527723"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{"citationItems":[{"id":"ITEM-1","itemData":{"author":[{"dropping-particle":"","family":"World Health Organization. Regional Office for Europe","given":"","non-dropping-particle":"","parse-names":false,"suffix":""}],"id":"ITEM-1","issued":{"date-parts":[["2014"]]},"title":"European Vaccine Action Plan 2015-2020","type":"article-journal"},"uris":["http://www.mendeley.com/documents/?uuid=384e8b9c-4d4b-416a-b5bc-ca5c1f5e56ee"]}],"mendeley":{"formattedCitation":"&lt;sup&gt;76&lt;/sup&gt;","plainTextFormattedCitation":"76","previouslyFormattedCitation":"&lt;sup&gt;76&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76</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AB13EA8"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WHO Europe, 2014</w:t>
            </w:r>
          </w:p>
        </w:tc>
        <w:tc>
          <w:tcPr>
            <w:tcW w:w="509" w:type="dxa"/>
            <w:tcBorders>
              <w:top w:val="single" w:sz="4" w:space="0" w:color="000000"/>
              <w:left w:val="single" w:sz="12" w:space="0" w:color="000000"/>
              <w:bottom w:val="single" w:sz="4" w:space="0" w:color="000000"/>
            </w:tcBorders>
            <w:shd w:val="clear" w:color="auto" w:fill="auto"/>
            <w:vAlign w:val="center"/>
          </w:tcPr>
          <w:p w14:paraId="4CBD5B5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17660E2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4" w:space="0" w:color="000000"/>
            </w:tcBorders>
            <w:shd w:val="clear" w:color="auto" w:fill="auto"/>
            <w:vAlign w:val="center"/>
          </w:tcPr>
          <w:p w14:paraId="413A613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77B11DE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60D5F2D9"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0AD2627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441793A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5788E24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395ECCB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04E03E0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r>
      <w:tr w:rsidR="008D28BB" w14:paraId="19820D0D" w14:textId="77777777" w:rsidTr="000B3355">
        <w:trPr>
          <w:trHeight w:val="267"/>
        </w:trPr>
        <w:tc>
          <w:tcPr>
            <w:tcW w:w="546" w:type="dxa"/>
            <w:tcBorders>
              <w:top w:val="nil"/>
              <w:left w:val="nil"/>
              <w:bottom w:val="single" w:sz="4" w:space="0" w:color="000000"/>
              <w:right w:val="single" w:sz="4" w:space="0" w:color="000000"/>
            </w:tcBorders>
            <w:vAlign w:val="center"/>
          </w:tcPr>
          <w:p w14:paraId="4AA6162D" w14:textId="77777777" w:rsidR="008D28BB" w:rsidRPr="00D51E20" w:rsidRDefault="008D28BB" w:rsidP="000B3355">
            <w:pPr>
              <w:spacing w:after="0"/>
              <w:jc w:val="center"/>
              <w:rPr>
                <w:rFonts w:ascii="Calibri" w:eastAsia="Calibri" w:hAnsi="Calibri" w:cs="Calibri"/>
                <w:i/>
              </w:rPr>
            </w:pPr>
            <w:r w:rsidRPr="00D51E20">
              <w:rPr>
                <w:rFonts w:ascii="Calibri" w:eastAsia="Calibri" w:hAnsi="Calibri" w:cs="Calibri"/>
                <w:i/>
              </w:rPr>
              <w:fldChar w:fldCharType="begin" w:fldLock="1"/>
            </w:r>
            <w:r w:rsidRPr="00D51E20">
              <w:rPr>
                <w:rFonts w:ascii="Calibri" w:eastAsia="Calibri" w:hAnsi="Calibri" w:cs="Calibri"/>
                <w:i/>
              </w:rPr>
              <w:instrText>ADDIN CSL_CITATION {"citationItems":[{"id":"ITEM-1","itemData":{"author":[{"dropping-particle":"","family":"World Health Organization","given":"","non-dropping-particle":"","parse-names":false,"suffix":""}],"id":"ITEM-1","issued":{"date-parts":[["2017"]]},"title":"Vaccination in humanitarian emergencies: Implementation guide","type":"article-journal"},"uris":["http://www.mendeley.com/documents/?uuid=54c7877f-746d-4766-9a18-739165dd894f"]}],"mendeley":{"formattedCitation":"&lt;sup&gt;77&lt;/sup&gt;","plainTextFormattedCitation":"77","previouslyFormattedCitation":"&lt;sup&gt;77&lt;/sup&gt;"},"properties":{"noteIndex":0},"schema":"https://github.com/citation-style-language/schema/raw/master/csl-citation.json"}</w:instrText>
            </w:r>
            <w:r w:rsidRPr="00D51E20">
              <w:rPr>
                <w:rFonts w:ascii="Calibri" w:eastAsia="Calibri" w:hAnsi="Calibri" w:cs="Calibri"/>
                <w:i/>
              </w:rPr>
              <w:fldChar w:fldCharType="separate"/>
            </w:r>
            <w:r w:rsidRPr="00D51E20">
              <w:rPr>
                <w:rFonts w:ascii="Calibri" w:eastAsia="Calibri" w:hAnsi="Calibri" w:cs="Calibri"/>
                <w:noProof/>
                <w:vertAlign w:val="superscript"/>
              </w:rPr>
              <w:t>77</w:t>
            </w:r>
            <w:r w:rsidRPr="00D51E20">
              <w:rPr>
                <w:rFonts w:ascii="Calibri" w:eastAsia="Calibri" w:hAnsi="Calibri" w:cs="Calibri"/>
                <w:i/>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60AD9510" w14:textId="77777777" w:rsidR="008D28BB" w:rsidRPr="00D51E20" w:rsidRDefault="008D28BB" w:rsidP="000B3355">
            <w:pPr>
              <w:spacing w:after="0"/>
              <w:rPr>
                <w:rFonts w:ascii="Calibri" w:eastAsia="Calibri" w:hAnsi="Calibri" w:cs="Calibri"/>
                <w:i/>
              </w:rPr>
            </w:pPr>
            <w:r w:rsidRPr="00D51E20">
              <w:rPr>
                <w:rFonts w:ascii="Calibri" w:eastAsia="Calibri" w:hAnsi="Calibri" w:cs="Calibri"/>
                <w:i/>
              </w:rPr>
              <w:t>WHO Europe, 2017</w:t>
            </w:r>
          </w:p>
        </w:tc>
        <w:tc>
          <w:tcPr>
            <w:tcW w:w="509" w:type="dxa"/>
            <w:tcBorders>
              <w:top w:val="single" w:sz="4" w:space="0" w:color="000000"/>
              <w:left w:val="single" w:sz="12" w:space="0" w:color="000000"/>
              <w:bottom w:val="single" w:sz="4" w:space="0" w:color="000000"/>
            </w:tcBorders>
            <w:shd w:val="clear" w:color="auto" w:fill="auto"/>
            <w:vAlign w:val="center"/>
          </w:tcPr>
          <w:p w14:paraId="7E3C630C" w14:textId="77777777" w:rsidR="008D28BB" w:rsidRDefault="008D28BB" w:rsidP="000B3355">
            <w:pPr>
              <w:spacing w:after="0"/>
              <w:jc w:val="right"/>
              <w:rPr>
                <w:rFonts w:ascii="Calibri" w:eastAsia="Calibri" w:hAnsi="Calibri" w:cs="Calibri"/>
              </w:rPr>
            </w:pPr>
            <w:r>
              <w:rPr>
                <w:rFonts w:ascii="Calibri" w:eastAsia="Calibri" w:hAnsi="Calibri" w:cs="Calibri"/>
              </w:rPr>
              <w:t>x</w:t>
            </w:r>
          </w:p>
        </w:tc>
        <w:tc>
          <w:tcPr>
            <w:tcW w:w="595" w:type="dxa"/>
            <w:tcBorders>
              <w:top w:val="single" w:sz="4" w:space="0" w:color="000000"/>
              <w:bottom w:val="single" w:sz="4" w:space="0" w:color="000000"/>
              <w:right w:val="single" w:sz="4" w:space="0" w:color="000000"/>
            </w:tcBorders>
            <w:shd w:val="clear" w:color="auto" w:fill="auto"/>
            <w:vAlign w:val="center"/>
          </w:tcPr>
          <w:p w14:paraId="6DB0B433" w14:textId="77777777" w:rsidR="008D28BB" w:rsidRDefault="008D28BB" w:rsidP="000B3355">
            <w:pPr>
              <w:spacing w:after="0"/>
              <w:rPr>
                <w:rFonts w:ascii="Calibri" w:eastAsia="Calibri" w:hAnsi="Calibri" w:cs="Calibri"/>
              </w:rPr>
            </w:pPr>
          </w:p>
        </w:tc>
        <w:tc>
          <w:tcPr>
            <w:tcW w:w="535" w:type="dxa"/>
            <w:tcBorders>
              <w:top w:val="single" w:sz="4" w:space="0" w:color="000000"/>
              <w:left w:val="single" w:sz="4" w:space="0" w:color="000000"/>
              <w:bottom w:val="single" w:sz="4" w:space="0" w:color="000000"/>
            </w:tcBorders>
            <w:shd w:val="clear" w:color="auto" w:fill="auto"/>
            <w:vAlign w:val="center"/>
          </w:tcPr>
          <w:p w14:paraId="2EFDF7A6"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24" w:type="dxa"/>
            <w:tcBorders>
              <w:top w:val="single" w:sz="4" w:space="0" w:color="000000"/>
              <w:bottom w:val="single" w:sz="4" w:space="0" w:color="000000"/>
              <w:right w:val="single" w:sz="4" w:space="0" w:color="000000"/>
            </w:tcBorders>
            <w:shd w:val="clear" w:color="auto" w:fill="auto"/>
            <w:vAlign w:val="center"/>
          </w:tcPr>
          <w:p w14:paraId="60125D2A" w14:textId="77777777" w:rsidR="008D28BB" w:rsidRDefault="008D28BB" w:rsidP="000B3355">
            <w:pPr>
              <w:spacing w:after="0"/>
              <w:rPr>
                <w:rFonts w:ascii="Calibri" w:eastAsia="Calibri" w:hAnsi="Calibri" w:cs="Calibri"/>
              </w:rPr>
            </w:pPr>
          </w:p>
        </w:tc>
        <w:tc>
          <w:tcPr>
            <w:tcW w:w="472" w:type="dxa"/>
            <w:tcBorders>
              <w:top w:val="single" w:sz="4" w:space="0" w:color="000000"/>
              <w:left w:val="single" w:sz="4" w:space="0" w:color="000000"/>
              <w:bottom w:val="single" w:sz="4" w:space="0" w:color="000000"/>
            </w:tcBorders>
            <w:shd w:val="clear" w:color="auto" w:fill="auto"/>
            <w:vAlign w:val="center"/>
          </w:tcPr>
          <w:p w14:paraId="3B8D0780" w14:textId="77777777" w:rsidR="008D28BB" w:rsidRDefault="008D28BB" w:rsidP="000B3355">
            <w:pPr>
              <w:spacing w:after="0"/>
              <w:jc w:val="right"/>
              <w:rPr>
                <w:rFonts w:ascii="Calibri" w:eastAsia="Calibri" w:hAnsi="Calibri" w:cs="Calibri"/>
              </w:rPr>
            </w:pPr>
          </w:p>
        </w:tc>
        <w:tc>
          <w:tcPr>
            <w:tcW w:w="547" w:type="dxa"/>
            <w:tcBorders>
              <w:top w:val="single" w:sz="4" w:space="0" w:color="000000"/>
              <w:bottom w:val="single" w:sz="4" w:space="0" w:color="000000"/>
              <w:right w:val="single" w:sz="4" w:space="0" w:color="000000"/>
            </w:tcBorders>
            <w:shd w:val="clear" w:color="auto" w:fill="auto"/>
            <w:vAlign w:val="center"/>
          </w:tcPr>
          <w:p w14:paraId="2C657AEA" w14:textId="77777777" w:rsidR="008D28BB" w:rsidRDefault="008D28BB" w:rsidP="000B3355">
            <w:pPr>
              <w:spacing w:after="0"/>
              <w:rPr>
                <w:rFonts w:ascii="Calibri" w:eastAsia="Calibri" w:hAnsi="Calibri" w:cs="Calibri"/>
              </w:rPr>
            </w:pPr>
            <w:r>
              <w:rPr>
                <w:rFonts w:ascii="Calibri" w:eastAsia="Calibri" w:hAnsi="Calibri" w:cs="Calibri"/>
              </w:rPr>
              <w:t>o</w:t>
            </w:r>
          </w:p>
        </w:tc>
        <w:tc>
          <w:tcPr>
            <w:tcW w:w="562" w:type="dxa"/>
            <w:tcBorders>
              <w:top w:val="single" w:sz="4" w:space="0" w:color="000000"/>
              <w:left w:val="single" w:sz="4" w:space="0" w:color="000000"/>
              <w:bottom w:val="single" w:sz="4" w:space="0" w:color="000000"/>
            </w:tcBorders>
            <w:shd w:val="clear" w:color="auto" w:fill="auto"/>
            <w:vAlign w:val="center"/>
          </w:tcPr>
          <w:p w14:paraId="4C292C70"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57" w:type="dxa"/>
            <w:tcBorders>
              <w:top w:val="single" w:sz="4" w:space="0" w:color="000000"/>
              <w:bottom w:val="single" w:sz="4" w:space="0" w:color="000000"/>
              <w:right w:val="single" w:sz="4" w:space="0" w:color="000000"/>
            </w:tcBorders>
            <w:shd w:val="clear" w:color="auto" w:fill="auto"/>
            <w:vAlign w:val="center"/>
          </w:tcPr>
          <w:p w14:paraId="629A9ED3" w14:textId="77777777" w:rsidR="008D28BB" w:rsidRDefault="008D28BB" w:rsidP="000B3355">
            <w:pPr>
              <w:spacing w:after="0"/>
              <w:rPr>
                <w:rFonts w:ascii="Calibri" w:eastAsia="Calibri" w:hAnsi="Calibri" w:cs="Calibri"/>
              </w:rPr>
            </w:pPr>
            <w:r>
              <w:rPr>
                <w:rFonts w:ascii="Calibri" w:eastAsia="Calibri" w:hAnsi="Calibri" w:cs="Calibri"/>
              </w:rPr>
              <w:t>o</w:t>
            </w:r>
          </w:p>
        </w:tc>
        <w:tc>
          <w:tcPr>
            <w:tcW w:w="472" w:type="dxa"/>
            <w:tcBorders>
              <w:top w:val="single" w:sz="4" w:space="0" w:color="000000"/>
              <w:left w:val="single" w:sz="4" w:space="0" w:color="000000"/>
              <w:bottom w:val="single" w:sz="4" w:space="0" w:color="000000"/>
            </w:tcBorders>
            <w:shd w:val="clear" w:color="auto" w:fill="auto"/>
            <w:vAlign w:val="center"/>
          </w:tcPr>
          <w:p w14:paraId="60CBF232" w14:textId="77777777" w:rsidR="008D28BB" w:rsidRDefault="008D28BB" w:rsidP="000B3355">
            <w:pPr>
              <w:spacing w:after="0"/>
              <w:jc w:val="right"/>
              <w:rPr>
                <w:rFonts w:ascii="Calibri" w:eastAsia="Calibri" w:hAnsi="Calibri" w:cs="Calibri"/>
              </w:rPr>
            </w:pPr>
            <w:r>
              <w:rPr>
                <w:rFonts w:ascii="Calibri" w:eastAsia="Calibri" w:hAnsi="Calibri" w:cs="Calibri"/>
              </w:rPr>
              <w:t> </w:t>
            </w:r>
          </w:p>
        </w:tc>
        <w:tc>
          <w:tcPr>
            <w:tcW w:w="639" w:type="dxa"/>
            <w:tcBorders>
              <w:top w:val="single" w:sz="4" w:space="0" w:color="000000"/>
              <w:bottom w:val="single" w:sz="4" w:space="0" w:color="000000"/>
              <w:right w:val="nil"/>
            </w:tcBorders>
            <w:shd w:val="clear" w:color="auto" w:fill="auto"/>
            <w:vAlign w:val="center"/>
          </w:tcPr>
          <w:p w14:paraId="0B175770" w14:textId="77777777" w:rsidR="008D28BB" w:rsidRDefault="008D28BB" w:rsidP="000B3355">
            <w:pPr>
              <w:spacing w:after="0"/>
              <w:rPr>
                <w:rFonts w:ascii="Calibri" w:eastAsia="Calibri" w:hAnsi="Calibri" w:cs="Calibri"/>
              </w:rPr>
            </w:pPr>
          </w:p>
        </w:tc>
      </w:tr>
      <w:tr w:rsidR="008D28BB" w14:paraId="6615BCAA" w14:textId="77777777" w:rsidTr="000B3355">
        <w:trPr>
          <w:trHeight w:val="267"/>
        </w:trPr>
        <w:tc>
          <w:tcPr>
            <w:tcW w:w="546" w:type="dxa"/>
            <w:tcBorders>
              <w:top w:val="nil"/>
              <w:left w:val="nil"/>
              <w:bottom w:val="single" w:sz="4" w:space="0" w:color="000000"/>
              <w:right w:val="single" w:sz="4" w:space="0" w:color="000000"/>
            </w:tcBorders>
            <w:vAlign w:val="center"/>
          </w:tcPr>
          <w:p w14:paraId="2D3B6964"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{"citationItems":[{"id":"ITEM-1","itemData":{"author":[{"dropping-particle":"","family":"World Health Organization. Regional Office for Europe.","given":"","non-dropping-particle":"","parse-names":false,"suffix":""}],"id":"ITEM-1","issued":{"date-parts":[["2018"]]},"title":"18th meeting of the European technical advisory group of experts on immunization (ETAGE). 12–13 November 2018","type":"paper-conference"},"uris":["http://www.mendeley.com/documents/?uuid=fd831ce0-0f32-4411-aac3-24a91c89535c"]}],"mendeley":{"formattedCitation":"&lt;sup&gt;78&lt;/sup&gt;","plainTextFormattedCitation":"78","previouslyFormattedCitation":"&lt;sup&gt;78&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78</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5B46E79C"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WHO Europe, 2018a</w:t>
            </w:r>
          </w:p>
        </w:tc>
        <w:tc>
          <w:tcPr>
            <w:tcW w:w="509" w:type="dxa"/>
            <w:tcBorders>
              <w:top w:val="single" w:sz="4" w:space="0" w:color="000000"/>
              <w:left w:val="single" w:sz="12" w:space="0" w:color="000000"/>
              <w:bottom w:val="single" w:sz="4" w:space="0" w:color="000000"/>
            </w:tcBorders>
            <w:shd w:val="clear" w:color="auto" w:fill="auto"/>
            <w:vAlign w:val="center"/>
          </w:tcPr>
          <w:p w14:paraId="4A30340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36498B2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3E6CF68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753A167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507DD93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0703973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2FCC9FE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581E232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173658C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1AF9393E"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5E816EBF" w14:textId="77777777" w:rsidTr="000B3355">
        <w:trPr>
          <w:trHeight w:val="267"/>
        </w:trPr>
        <w:tc>
          <w:tcPr>
            <w:tcW w:w="546" w:type="dxa"/>
            <w:tcBorders>
              <w:top w:val="nil"/>
              <w:left w:val="nil"/>
              <w:bottom w:val="single" w:sz="4" w:space="0" w:color="000000"/>
              <w:right w:val="single" w:sz="4" w:space="0" w:color="000000"/>
            </w:tcBorders>
            <w:vAlign w:val="center"/>
          </w:tcPr>
          <w:p w14:paraId="6AF3A7FD"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{"citationItems":[{"id":"ITEM-1","itemData":{"author":[{"dropping-particle":"","family":"World Health Organization. Regional Office for Europe","given":"","non-dropping-particle":"","parse-names":false,"suffix":""}],"id":"ITEM-1","issued":{"date-parts":[["2018"]]},"title":"Health of refugee and migrant children. Technical Guidance","type":"article-journal"},"uris":["http://www.mendeley.com/documents/?uuid=a41feeb9-471c-4616-b1fa-4f5ca0580e74"]}],"mendeley":{"formattedCitation":"&lt;sup&gt;79&lt;/sup&gt;","plainTextFormattedCitation":"79","previouslyFormattedCitation":"&lt;sup&gt;79&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79</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208073C6"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WHO Europe, 2018b</w:t>
            </w:r>
          </w:p>
        </w:tc>
        <w:tc>
          <w:tcPr>
            <w:tcW w:w="509" w:type="dxa"/>
            <w:tcBorders>
              <w:top w:val="single" w:sz="4" w:space="0" w:color="000000"/>
              <w:left w:val="single" w:sz="12" w:space="0" w:color="000000"/>
              <w:bottom w:val="single" w:sz="4" w:space="0" w:color="000000"/>
            </w:tcBorders>
            <w:shd w:val="clear" w:color="auto" w:fill="auto"/>
            <w:vAlign w:val="center"/>
          </w:tcPr>
          <w:p w14:paraId="7AE624E7"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6A22B80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50FB36D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074B75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28A98202"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09ED499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6F2BF40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043E6F4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6A40385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3CBDF58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5A88997E" w14:textId="77777777" w:rsidTr="000B3355">
        <w:trPr>
          <w:trHeight w:val="267"/>
        </w:trPr>
        <w:tc>
          <w:tcPr>
            <w:tcW w:w="546" w:type="dxa"/>
            <w:tcBorders>
              <w:top w:val="nil"/>
              <w:left w:val="nil"/>
              <w:bottom w:val="single" w:sz="4" w:space="0" w:color="000000"/>
              <w:right w:val="single" w:sz="4" w:space="0" w:color="000000"/>
            </w:tcBorders>
            <w:vAlign w:val="center"/>
          </w:tcPr>
          <w:p w14:paraId="26827765"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{"citationItems":[{"id":"ITEM-1","itemData":{"author":[{"dropping-particle":"","family":"Europe","given":"World Health Organization. Regional Office for","non-dropping-particle":"","parse-names":false,"suffix":""}],"id":"ITEM-1","issued":{"date-parts":[["2018"]]},"title":"Report on the health of refugees and migrants in the WHO European Region: no public health without refugee and migrants","type":"article-journal"},"uris":["http://www.mendeley.com/documents/?uuid=1f0a4be0-1dce-4d26-9cae-8c2cd7266826"]}],"mendeley":{"formattedCitation":"&lt;sup&gt;80&lt;/sup&gt;","plainTextFormattedCitation":"80","previouslyFormattedCitation":"&lt;sup&gt;80&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80</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62B27A5"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WHO Europe, 2018c</w:t>
            </w:r>
          </w:p>
        </w:tc>
        <w:tc>
          <w:tcPr>
            <w:tcW w:w="509" w:type="dxa"/>
            <w:tcBorders>
              <w:top w:val="single" w:sz="4" w:space="0" w:color="000000"/>
              <w:left w:val="single" w:sz="12" w:space="0" w:color="000000"/>
              <w:bottom w:val="single" w:sz="4" w:space="0" w:color="000000"/>
            </w:tcBorders>
            <w:shd w:val="clear" w:color="auto" w:fill="auto"/>
            <w:vAlign w:val="center"/>
          </w:tcPr>
          <w:p w14:paraId="709CC97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49EADDFC"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5252E61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151B627"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6C5E00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3030D2B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5C10DD0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0DFCE709"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3A37F74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1016ECD6"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6A92A749" w14:textId="77777777" w:rsidTr="000B3355">
        <w:trPr>
          <w:trHeight w:val="267"/>
        </w:trPr>
        <w:tc>
          <w:tcPr>
            <w:tcW w:w="546" w:type="dxa"/>
            <w:tcBorders>
              <w:top w:val="nil"/>
              <w:left w:val="nil"/>
              <w:bottom w:val="single" w:sz="4" w:space="0" w:color="000000"/>
              <w:right w:val="single" w:sz="4" w:space="0" w:color="000000"/>
            </w:tcBorders>
            <w:vAlign w:val="center"/>
          </w:tcPr>
          <w:p w14:paraId="4575691D"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 xml:space="preserve">   </w:t>
            </w: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{"citationItems":[{"id":"ITEM-1","itemData":{"author":[{"dropping-particle":"","family":"World Health Organization. Regional Office for Europe","given":"","non-dropping-particle":"","parse-names":false,"suffix":""}],"id":"ITEM-1","issued":{"date-parts":[["2019"]]},"title":"Delivery of immunization services for refugees and migrants: technical guidance","type":"report"},"uris":["http://www.mendeley.com/documents/?uuid=dc930c6a-f165-4aa6-8b8e-54d514b1c794"]}],"mendeley":{"formattedCitation":"&lt;sup&gt;4&lt;/sup&gt;","plainTextFormattedCitation":"4","previouslyFormattedCitation":"&lt;sup&gt;4&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4</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444E5E6B"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WHO Europe, ‎2019a</w:t>
            </w:r>
          </w:p>
        </w:tc>
        <w:tc>
          <w:tcPr>
            <w:tcW w:w="509" w:type="dxa"/>
            <w:tcBorders>
              <w:top w:val="single" w:sz="4" w:space="0" w:color="000000"/>
              <w:left w:val="single" w:sz="12" w:space="0" w:color="000000"/>
              <w:bottom w:val="single" w:sz="4" w:space="0" w:color="000000"/>
            </w:tcBorders>
            <w:shd w:val="clear" w:color="auto" w:fill="auto"/>
            <w:vAlign w:val="center"/>
          </w:tcPr>
          <w:p w14:paraId="0D89036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95" w:type="dxa"/>
            <w:tcBorders>
              <w:top w:val="single" w:sz="4" w:space="0" w:color="000000"/>
              <w:bottom w:val="single" w:sz="4" w:space="0" w:color="000000"/>
              <w:right w:val="single" w:sz="4" w:space="0" w:color="000000"/>
            </w:tcBorders>
            <w:shd w:val="clear" w:color="auto" w:fill="auto"/>
            <w:vAlign w:val="center"/>
          </w:tcPr>
          <w:p w14:paraId="5C53E8F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1A1D638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748058C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7AD9EA1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14F61F2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4115772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6F87F8AA"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4E5B7D21"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39" w:type="dxa"/>
            <w:tcBorders>
              <w:top w:val="single" w:sz="4" w:space="0" w:color="000000"/>
              <w:bottom w:val="single" w:sz="4" w:space="0" w:color="000000"/>
              <w:right w:val="nil"/>
            </w:tcBorders>
            <w:shd w:val="clear" w:color="auto" w:fill="auto"/>
            <w:vAlign w:val="center"/>
          </w:tcPr>
          <w:p w14:paraId="26DC401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1D8F86CF" w14:textId="77777777" w:rsidTr="000B3355">
        <w:trPr>
          <w:trHeight w:val="267"/>
        </w:trPr>
        <w:tc>
          <w:tcPr>
            <w:tcW w:w="546" w:type="dxa"/>
            <w:tcBorders>
              <w:top w:val="nil"/>
              <w:left w:val="nil"/>
              <w:bottom w:val="single" w:sz="4" w:space="0" w:color="000000"/>
              <w:right w:val="single" w:sz="4" w:space="0" w:color="000000"/>
            </w:tcBorders>
            <w:vAlign w:val="center"/>
          </w:tcPr>
          <w:p w14:paraId="172896EE"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{"citationItems":[{"id":"ITEM-1","itemData":{"author":[{"dropping-particle":"","family":"World Health Organization. Regional Office for Europe","given":"","non-dropping-particle":"","parse-names":false,"suffix":""}],"id":"ITEM-1","issued":{"date-parts":[["2019"]]},"title":"Health diplomacy: spotlight on refugees and migrants","type":"article-journal"},"uris":["http://www.mendeley.com/documents/?uuid=e5e2ad04-f10f-44e1-aea0-1ef9809c6e57"]}],"mendeley":{"formattedCitation":"&lt;sup&gt;81&lt;/sup&gt;","plainTextFormattedCitation":"81","previouslyFormattedCitation":"&lt;sup&gt;81&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81</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0B32E229"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WHO Europe, 2019b</w:t>
            </w:r>
          </w:p>
        </w:tc>
        <w:tc>
          <w:tcPr>
            <w:tcW w:w="509" w:type="dxa"/>
            <w:tcBorders>
              <w:top w:val="single" w:sz="4" w:space="0" w:color="000000"/>
              <w:left w:val="single" w:sz="12" w:space="0" w:color="000000"/>
              <w:bottom w:val="single" w:sz="4" w:space="0" w:color="000000"/>
            </w:tcBorders>
            <w:shd w:val="clear" w:color="auto" w:fill="auto"/>
            <w:vAlign w:val="center"/>
          </w:tcPr>
          <w:p w14:paraId="3A1AED2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3607C13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628D081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4" w:space="0" w:color="000000"/>
              <w:right w:val="single" w:sz="4" w:space="0" w:color="000000"/>
            </w:tcBorders>
            <w:shd w:val="clear" w:color="auto" w:fill="auto"/>
            <w:vAlign w:val="center"/>
          </w:tcPr>
          <w:p w14:paraId="577D4143"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7B3D836C"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01E7CF8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4" w:space="0" w:color="000000"/>
            </w:tcBorders>
            <w:shd w:val="clear" w:color="auto" w:fill="auto"/>
            <w:vAlign w:val="center"/>
          </w:tcPr>
          <w:p w14:paraId="351058B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4F28179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501D9B5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1ADCA415"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5BC96901" w14:textId="77777777" w:rsidTr="000B3355">
        <w:trPr>
          <w:trHeight w:val="267"/>
        </w:trPr>
        <w:tc>
          <w:tcPr>
            <w:tcW w:w="546" w:type="dxa"/>
            <w:tcBorders>
              <w:top w:val="nil"/>
              <w:left w:val="nil"/>
              <w:bottom w:val="single" w:sz="4" w:space="0" w:color="000000"/>
              <w:right w:val="single" w:sz="4" w:space="0" w:color="000000"/>
            </w:tcBorders>
            <w:vAlign w:val="center"/>
          </w:tcPr>
          <w:p w14:paraId="26336A20"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{"citationItems":[{"id":"ITEM-1","itemData":{"author":[{"dropping-particle":"","family":"World Health Organization. Regional Office for Europe","given":"","non-dropping-particle":"","parse-names":false,"suffix":""}],"id":"ITEM-1","issued":{"date-parts":[["2019"]]},"title":"Tailoring Immunization Programmes (TIP)","type":"article-journal"},"uris":["http://www.mendeley.com/documents/?uuid=f24e5392-de07-4363-9012-5ef008a36f7f"]}],"mendeley":{"formattedCitation":"&lt;sup&gt;82&lt;/sup&gt;","plainTextFormattedCitation":"82","previouslyFormattedCitation":"&lt;sup&gt;82&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82</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1D7B0693"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 xml:space="preserve">WHO Europe, ‎2019c‎ </w:t>
            </w:r>
          </w:p>
        </w:tc>
        <w:tc>
          <w:tcPr>
            <w:tcW w:w="509" w:type="dxa"/>
            <w:tcBorders>
              <w:top w:val="single" w:sz="4" w:space="0" w:color="000000"/>
              <w:left w:val="single" w:sz="12" w:space="0" w:color="000000"/>
              <w:bottom w:val="single" w:sz="4" w:space="0" w:color="000000"/>
            </w:tcBorders>
            <w:shd w:val="clear" w:color="auto" w:fill="auto"/>
            <w:vAlign w:val="center"/>
          </w:tcPr>
          <w:p w14:paraId="13B7EAA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1B2CE4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13A16FE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334F14D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7BE0263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4" w:space="0" w:color="000000"/>
              <w:right w:val="single" w:sz="4" w:space="0" w:color="000000"/>
            </w:tcBorders>
            <w:shd w:val="clear" w:color="auto" w:fill="auto"/>
            <w:vAlign w:val="center"/>
          </w:tcPr>
          <w:p w14:paraId="61280F0F"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58D69A13"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4" w:space="0" w:color="000000"/>
              <w:right w:val="single" w:sz="4" w:space="0" w:color="000000"/>
            </w:tcBorders>
            <w:shd w:val="clear" w:color="auto" w:fill="auto"/>
            <w:vAlign w:val="center"/>
          </w:tcPr>
          <w:p w14:paraId="3BE1ACC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4" w:space="0" w:color="000000"/>
            </w:tcBorders>
            <w:shd w:val="clear" w:color="auto" w:fill="auto"/>
            <w:vAlign w:val="center"/>
          </w:tcPr>
          <w:p w14:paraId="5BAD70DB"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27CF6E5B"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r w:rsidR="008D28BB" w14:paraId="2E41A36A" w14:textId="77777777" w:rsidTr="000B3355">
        <w:trPr>
          <w:trHeight w:val="267"/>
        </w:trPr>
        <w:tc>
          <w:tcPr>
            <w:tcW w:w="546" w:type="dxa"/>
            <w:tcBorders>
              <w:top w:val="nil"/>
              <w:left w:val="nil"/>
              <w:bottom w:val="single" w:sz="4" w:space="0" w:color="000000"/>
              <w:right w:val="single" w:sz="4" w:space="0" w:color="000000"/>
            </w:tcBorders>
            <w:vAlign w:val="center"/>
          </w:tcPr>
          <w:p w14:paraId="58CE444C"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{"citationItems":[{"id":"ITEM-1","itemData":{"author":[{"dropping-particle":"","family":"World Health Organization. Regional Office for Europe","given":"","non-dropping-particle":"","parse-names":false,"suffix":""}],"id":"ITEM-1","issued":{"date-parts":[["2020"]]},"title":"Collection and integration of data on refugee and migrant health in the WHO European Region","type":"report"},"uris":["http://www.mendeley.com/documents/?uuid=75140e22-59b1-46b7-95ee-f4b634e3338d"]}],"mendeley":{"formattedCitation":"&lt;sup&gt;83&lt;/sup&gt;","plainTextFormattedCitation":"83","previouslyFormattedCitation":"&lt;sup&gt;83&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83</w:t>
            </w:r>
            <w:r w:rsidRPr="00D51E20">
              <w:rPr>
                <w:rFonts w:ascii="Calibri" w:eastAsia="Calibri" w:hAnsi="Calibri" w:cs="Calibri"/>
                <w:i/>
                <w:color w:val="000000"/>
              </w:rPr>
              <w:fldChar w:fldCharType="end"/>
            </w:r>
          </w:p>
        </w:tc>
        <w:tc>
          <w:tcPr>
            <w:tcW w:w="3620" w:type="dxa"/>
            <w:tcBorders>
              <w:top w:val="nil"/>
              <w:left w:val="nil"/>
              <w:bottom w:val="single" w:sz="4" w:space="0" w:color="000000"/>
              <w:right w:val="single" w:sz="12" w:space="0" w:color="000000"/>
            </w:tcBorders>
            <w:shd w:val="clear" w:color="auto" w:fill="auto"/>
            <w:vAlign w:val="center"/>
          </w:tcPr>
          <w:p w14:paraId="7C1EF7E4" w14:textId="77777777" w:rsidR="008D28BB" w:rsidRPr="00D51E20" w:rsidRDefault="008D28BB" w:rsidP="000B3355">
            <w:pPr>
              <w:spacing w:after="0"/>
              <w:rPr>
                <w:rFonts w:ascii="Calibri" w:eastAsia="Calibri" w:hAnsi="Calibri" w:cs="Calibri"/>
                <w:i/>
                <w:color w:val="000000"/>
              </w:rPr>
            </w:pPr>
            <w:r w:rsidRPr="00D51E20">
              <w:rPr>
                <w:rFonts w:ascii="Calibri" w:eastAsia="Calibri" w:hAnsi="Calibri" w:cs="Calibri"/>
                <w:i/>
                <w:color w:val="000000"/>
              </w:rPr>
              <w:t>WHO Europe, 2020</w:t>
            </w:r>
          </w:p>
        </w:tc>
        <w:tc>
          <w:tcPr>
            <w:tcW w:w="509" w:type="dxa"/>
            <w:tcBorders>
              <w:top w:val="single" w:sz="4" w:space="0" w:color="000000"/>
              <w:left w:val="single" w:sz="12" w:space="0" w:color="000000"/>
              <w:bottom w:val="single" w:sz="4" w:space="0" w:color="000000"/>
            </w:tcBorders>
            <w:shd w:val="clear" w:color="auto" w:fill="auto"/>
            <w:vAlign w:val="center"/>
          </w:tcPr>
          <w:p w14:paraId="4B18CF5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4" w:space="0" w:color="000000"/>
              <w:right w:val="single" w:sz="4" w:space="0" w:color="000000"/>
            </w:tcBorders>
            <w:shd w:val="clear" w:color="auto" w:fill="auto"/>
            <w:vAlign w:val="center"/>
          </w:tcPr>
          <w:p w14:paraId="11D699C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35" w:type="dxa"/>
            <w:tcBorders>
              <w:top w:val="single" w:sz="4" w:space="0" w:color="000000"/>
              <w:left w:val="single" w:sz="4" w:space="0" w:color="000000"/>
              <w:bottom w:val="single" w:sz="4" w:space="0" w:color="000000"/>
            </w:tcBorders>
            <w:shd w:val="clear" w:color="auto" w:fill="auto"/>
            <w:vAlign w:val="center"/>
          </w:tcPr>
          <w:p w14:paraId="70D5BC48"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24" w:type="dxa"/>
            <w:tcBorders>
              <w:top w:val="single" w:sz="4" w:space="0" w:color="000000"/>
              <w:bottom w:val="single" w:sz="4" w:space="0" w:color="000000"/>
              <w:right w:val="single" w:sz="4" w:space="0" w:color="000000"/>
            </w:tcBorders>
            <w:shd w:val="clear" w:color="auto" w:fill="auto"/>
            <w:vAlign w:val="center"/>
          </w:tcPr>
          <w:p w14:paraId="52A50C5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20D66A80"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47" w:type="dxa"/>
            <w:tcBorders>
              <w:top w:val="single" w:sz="4" w:space="0" w:color="000000"/>
              <w:bottom w:val="single" w:sz="4" w:space="0" w:color="000000"/>
              <w:right w:val="single" w:sz="4" w:space="0" w:color="000000"/>
            </w:tcBorders>
            <w:shd w:val="clear" w:color="auto" w:fill="auto"/>
            <w:vAlign w:val="center"/>
          </w:tcPr>
          <w:p w14:paraId="5CC079A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562" w:type="dxa"/>
            <w:tcBorders>
              <w:top w:val="single" w:sz="4" w:space="0" w:color="000000"/>
              <w:left w:val="single" w:sz="4" w:space="0" w:color="000000"/>
              <w:bottom w:val="single" w:sz="4" w:space="0" w:color="000000"/>
            </w:tcBorders>
            <w:shd w:val="clear" w:color="auto" w:fill="auto"/>
            <w:vAlign w:val="center"/>
          </w:tcPr>
          <w:p w14:paraId="5F06FA1E"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57" w:type="dxa"/>
            <w:tcBorders>
              <w:top w:val="single" w:sz="4" w:space="0" w:color="000000"/>
              <w:bottom w:val="single" w:sz="4" w:space="0" w:color="000000"/>
              <w:right w:val="single" w:sz="4" w:space="0" w:color="000000"/>
            </w:tcBorders>
            <w:shd w:val="clear" w:color="auto" w:fill="auto"/>
            <w:vAlign w:val="center"/>
          </w:tcPr>
          <w:p w14:paraId="29B6289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c>
          <w:tcPr>
            <w:tcW w:w="472" w:type="dxa"/>
            <w:tcBorders>
              <w:top w:val="single" w:sz="4" w:space="0" w:color="000000"/>
              <w:left w:val="single" w:sz="4" w:space="0" w:color="000000"/>
              <w:bottom w:val="single" w:sz="4" w:space="0" w:color="000000"/>
            </w:tcBorders>
            <w:shd w:val="clear" w:color="auto" w:fill="auto"/>
            <w:vAlign w:val="center"/>
          </w:tcPr>
          <w:p w14:paraId="4C3F0A15"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4" w:space="0" w:color="000000"/>
              <w:right w:val="nil"/>
            </w:tcBorders>
            <w:shd w:val="clear" w:color="auto" w:fill="auto"/>
            <w:vAlign w:val="center"/>
          </w:tcPr>
          <w:p w14:paraId="2972A571"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r>
      <w:tr w:rsidR="008D28BB" w14:paraId="15E18206" w14:textId="77777777" w:rsidTr="000B3355">
        <w:trPr>
          <w:trHeight w:val="278"/>
        </w:trPr>
        <w:tc>
          <w:tcPr>
            <w:tcW w:w="546" w:type="dxa"/>
            <w:tcBorders>
              <w:top w:val="nil"/>
              <w:left w:val="nil"/>
              <w:bottom w:val="single" w:sz="6" w:space="0" w:color="000000"/>
              <w:right w:val="single" w:sz="4" w:space="0" w:color="000000"/>
            </w:tcBorders>
            <w:vAlign w:val="center"/>
          </w:tcPr>
          <w:p w14:paraId="2726D84D" w14:textId="77777777" w:rsidR="008D28BB" w:rsidRPr="00D51E20" w:rsidRDefault="008D28BB" w:rsidP="000B3355">
            <w:pPr>
              <w:spacing w:after="0"/>
              <w:jc w:val="center"/>
              <w:rPr>
                <w:rFonts w:ascii="Calibri" w:eastAsia="Calibri" w:hAnsi="Calibri" w:cs="Calibri"/>
                <w:i/>
                <w:color w:val="000000"/>
              </w:rPr>
            </w:pPr>
            <w:r w:rsidRPr="00D51E20">
              <w:rPr>
                <w:rFonts w:ascii="Calibri" w:eastAsia="Calibri" w:hAnsi="Calibri" w:cs="Calibri"/>
                <w:i/>
                <w:color w:val="000000"/>
              </w:rPr>
              <w:fldChar w:fldCharType="begin" w:fldLock="1"/>
            </w:r>
            <w:r w:rsidRPr="00D51E20">
              <w:rPr>
                <w:rFonts w:ascii="Calibri" w:eastAsia="Calibri" w:hAnsi="Calibri" w:cs="Calibri"/>
                <w:i/>
                <w:color w:val="000000"/>
              </w:rPr>
              <w:instrText>ADDIN CSL_CITATION {"citationItems":[{"id":"ITEM-1","itemData":{"DOI":"10.1038/s41591-021-01328-3","ISSN":"1078-8956","author":[{"dropping-particle":"","family":"Zard","given":"Monette","non-dropping-particle":"","parse-names":false,"suffix":""},{"dropping-particle":"","family":"Lau","given":"Ling San","non-dropping-particle":"","parse-names":false,"suffix":""},{"dropping-particle":"","family":"Bowser","given":"Diana M.","non-dropping-particle":"","parse-names":false,"suffix":""},{"dropping-particle":"","family":"Fouad","given":"Fouad M.","non-dropping-particle":"","parse-names":false,"suffix":""},{"dropping-particle":"","family":"Lucumí","given":"Diego I.","non-dropping-particle":"","parse-names":false,"suffix":""},{"dropping-particle":"","family":"Samari","given":"Goleen","non-dropping-particle":"","parse-names":false,"suffix":""},{"dropping-particle":"","family":"Harker","given":"Arturo","non-dropping-particle":"","parse-names":false,"suffix":""},{"dropping-particle":"","family":"Shepard","given":"Donald S.","non-dropping-particle":"","parse-names":false,"suffix":""},{"dropping-particle":"","family":"Zeng","given":"Wu","non-dropping-particle":"","parse-names":false,"suffix":""},{"dropping-particle":"","family":"Moresky","given":"Rachel T.","non-dropping-particle":"","parse-names":false,"suffix":""},{"dropping-particle":"","family":"Audi","given":"Mhd Nour","non-dropping-particle":"","parse-names":false,"suffix":""},{"dropping-particle":"","family":"Greene","given":"Claire M.","non-dropping-particle":"","parse-names":false,"suffix":""},{"dropping-particle":"","family":"Kachur","given":"S. Patrick","non-dropping-particle":"","parse-names":false,"suffix":""}],"container-title":"Nature Medicine","id":"ITEM-1","issue":"5","issued":{"date-parts":[["2021","5","19"]]},"page":"747-749","title":"Leave no one behind: ensuring access to COVID-19 vaccines for refugee and displaced populations","type":"article-journal","volume":"27"},"uris":["http://www.mendeley.com/documents/?uuid=718609fe-7a15-4e41-b834-c5dd00eec3c4"]}],"mendeley":{"formattedCitation":"&lt;sup&gt;84&lt;/sup&gt;","plainTextFormattedCitation":"84","previouslyFormattedCitation":"&lt;sup&gt;84&lt;/sup&gt;"},"properties":{"noteIndex":0},"schema":"https://github.com/citation-style-language/schema/raw/master/csl-citation.json"}</w:instrText>
            </w:r>
            <w:r w:rsidRPr="00D51E20">
              <w:rPr>
                <w:rFonts w:ascii="Calibri" w:eastAsia="Calibri" w:hAnsi="Calibri" w:cs="Calibri"/>
                <w:i/>
                <w:color w:val="000000"/>
              </w:rPr>
              <w:fldChar w:fldCharType="separate"/>
            </w:r>
            <w:r w:rsidRPr="00D51E20">
              <w:rPr>
                <w:rFonts w:ascii="Calibri" w:eastAsia="Calibri" w:hAnsi="Calibri" w:cs="Calibri"/>
                <w:noProof/>
                <w:color w:val="000000"/>
                <w:vertAlign w:val="superscript"/>
              </w:rPr>
              <w:t>84</w:t>
            </w:r>
            <w:r w:rsidRPr="00D51E20">
              <w:rPr>
                <w:rFonts w:ascii="Calibri" w:eastAsia="Calibri" w:hAnsi="Calibri" w:cs="Calibri"/>
                <w:i/>
                <w:color w:val="000000"/>
              </w:rPr>
              <w:fldChar w:fldCharType="end"/>
            </w:r>
          </w:p>
        </w:tc>
        <w:tc>
          <w:tcPr>
            <w:tcW w:w="3620" w:type="dxa"/>
            <w:tcBorders>
              <w:top w:val="nil"/>
              <w:left w:val="nil"/>
              <w:bottom w:val="single" w:sz="6" w:space="0" w:color="000000"/>
              <w:right w:val="single" w:sz="12" w:space="0" w:color="000000"/>
            </w:tcBorders>
            <w:shd w:val="clear" w:color="auto" w:fill="auto"/>
            <w:vAlign w:val="center"/>
          </w:tcPr>
          <w:p w14:paraId="1844BDB1" w14:textId="77777777" w:rsidR="008D28BB" w:rsidRPr="00D51E20" w:rsidRDefault="008D28BB" w:rsidP="000B3355">
            <w:pPr>
              <w:spacing w:after="0"/>
              <w:rPr>
                <w:rFonts w:ascii="Calibri" w:eastAsia="Calibri" w:hAnsi="Calibri" w:cs="Calibri"/>
                <w:i/>
                <w:color w:val="000000"/>
              </w:rPr>
            </w:pPr>
            <w:proofErr w:type="spellStart"/>
            <w:r w:rsidRPr="00D51E20">
              <w:rPr>
                <w:rFonts w:ascii="Calibri" w:eastAsia="Calibri" w:hAnsi="Calibri" w:cs="Calibri"/>
                <w:i/>
                <w:color w:val="000000"/>
              </w:rPr>
              <w:t>Zard</w:t>
            </w:r>
            <w:proofErr w:type="spellEnd"/>
            <w:r w:rsidRPr="00D51E20">
              <w:rPr>
                <w:rFonts w:ascii="Calibri" w:eastAsia="Calibri" w:hAnsi="Calibri" w:cs="Calibri"/>
                <w:i/>
                <w:color w:val="000000"/>
              </w:rPr>
              <w:t>, 2021</w:t>
            </w:r>
          </w:p>
        </w:tc>
        <w:tc>
          <w:tcPr>
            <w:tcW w:w="509" w:type="dxa"/>
            <w:tcBorders>
              <w:top w:val="single" w:sz="4" w:space="0" w:color="000000"/>
              <w:left w:val="single" w:sz="12" w:space="0" w:color="000000"/>
              <w:bottom w:val="single" w:sz="6" w:space="0" w:color="000000"/>
            </w:tcBorders>
            <w:shd w:val="clear" w:color="auto" w:fill="auto"/>
            <w:vAlign w:val="center"/>
          </w:tcPr>
          <w:p w14:paraId="202E003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595" w:type="dxa"/>
            <w:tcBorders>
              <w:top w:val="single" w:sz="4" w:space="0" w:color="000000"/>
              <w:bottom w:val="single" w:sz="6" w:space="0" w:color="000000"/>
              <w:right w:val="single" w:sz="4" w:space="0" w:color="000000"/>
            </w:tcBorders>
            <w:shd w:val="clear" w:color="auto" w:fill="auto"/>
            <w:vAlign w:val="center"/>
          </w:tcPr>
          <w:p w14:paraId="1FCB6B24"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35" w:type="dxa"/>
            <w:tcBorders>
              <w:top w:val="single" w:sz="4" w:space="0" w:color="000000"/>
              <w:left w:val="single" w:sz="4" w:space="0" w:color="000000"/>
              <w:bottom w:val="single" w:sz="6" w:space="0" w:color="000000"/>
            </w:tcBorders>
            <w:shd w:val="clear" w:color="auto" w:fill="auto"/>
            <w:vAlign w:val="center"/>
          </w:tcPr>
          <w:p w14:paraId="59DA1526"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24" w:type="dxa"/>
            <w:tcBorders>
              <w:top w:val="single" w:sz="4" w:space="0" w:color="000000"/>
              <w:bottom w:val="single" w:sz="6" w:space="0" w:color="000000"/>
              <w:right w:val="single" w:sz="4" w:space="0" w:color="000000"/>
            </w:tcBorders>
            <w:shd w:val="clear" w:color="auto" w:fill="auto"/>
            <w:vAlign w:val="center"/>
          </w:tcPr>
          <w:p w14:paraId="1E6A412D"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6" w:space="0" w:color="000000"/>
            </w:tcBorders>
            <w:shd w:val="clear" w:color="auto" w:fill="auto"/>
            <w:vAlign w:val="center"/>
          </w:tcPr>
          <w:p w14:paraId="6D53242D"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547" w:type="dxa"/>
            <w:tcBorders>
              <w:top w:val="single" w:sz="4" w:space="0" w:color="000000"/>
              <w:bottom w:val="single" w:sz="6" w:space="0" w:color="000000"/>
              <w:right w:val="single" w:sz="4" w:space="0" w:color="000000"/>
            </w:tcBorders>
            <w:shd w:val="clear" w:color="auto" w:fill="auto"/>
            <w:vAlign w:val="center"/>
          </w:tcPr>
          <w:p w14:paraId="299FC178"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562" w:type="dxa"/>
            <w:tcBorders>
              <w:top w:val="single" w:sz="4" w:space="0" w:color="000000"/>
              <w:left w:val="single" w:sz="4" w:space="0" w:color="000000"/>
              <w:bottom w:val="single" w:sz="6" w:space="0" w:color="000000"/>
            </w:tcBorders>
            <w:shd w:val="clear" w:color="auto" w:fill="auto"/>
            <w:vAlign w:val="center"/>
          </w:tcPr>
          <w:p w14:paraId="70CDDA74"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x</w:t>
            </w:r>
          </w:p>
        </w:tc>
        <w:tc>
          <w:tcPr>
            <w:tcW w:w="657" w:type="dxa"/>
            <w:tcBorders>
              <w:top w:val="single" w:sz="4" w:space="0" w:color="000000"/>
              <w:bottom w:val="single" w:sz="6" w:space="0" w:color="000000"/>
              <w:right w:val="single" w:sz="4" w:space="0" w:color="000000"/>
            </w:tcBorders>
            <w:shd w:val="clear" w:color="auto" w:fill="auto"/>
            <w:vAlign w:val="center"/>
          </w:tcPr>
          <w:p w14:paraId="24428762"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o</w:t>
            </w:r>
          </w:p>
        </w:tc>
        <w:tc>
          <w:tcPr>
            <w:tcW w:w="472" w:type="dxa"/>
            <w:tcBorders>
              <w:top w:val="single" w:sz="4" w:space="0" w:color="000000"/>
              <w:left w:val="single" w:sz="4" w:space="0" w:color="000000"/>
              <w:bottom w:val="single" w:sz="6" w:space="0" w:color="000000"/>
            </w:tcBorders>
            <w:shd w:val="clear" w:color="auto" w:fill="auto"/>
            <w:vAlign w:val="center"/>
          </w:tcPr>
          <w:p w14:paraId="27507C2A" w14:textId="77777777" w:rsidR="008D28BB" w:rsidRDefault="008D28BB" w:rsidP="000B3355">
            <w:pPr>
              <w:spacing w:after="0"/>
              <w:jc w:val="right"/>
              <w:rPr>
                <w:rFonts w:ascii="Calibri" w:eastAsia="Calibri" w:hAnsi="Calibri" w:cs="Calibri"/>
                <w:color w:val="000000"/>
              </w:rPr>
            </w:pPr>
            <w:r>
              <w:rPr>
                <w:rFonts w:ascii="Calibri" w:eastAsia="Calibri" w:hAnsi="Calibri" w:cs="Calibri"/>
                <w:color w:val="000000"/>
              </w:rPr>
              <w:t> </w:t>
            </w:r>
          </w:p>
        </w:tc>
        <w:tc>
          <w:tcPr>
            <w:tcW w:w="639" w:type="dxa"/>
            <w:tcBorders>
              <w:top w:val="single" w:sz="4" w:space="0" w:color="000000"/>
              <w:bottom w:val="single" w:sz="6" w:space="0" w:color="000000"/>
              <w:right w:val="nil"/>
            </w:tcBorders>
            <w:shd w:val="clear" w:color="auto" w:fill="auto"/>
            <w:vAlign w:val="center"/>
          </w:tcPr>
          <w:p w14:paraId="55B82EA0" w14:textId="77777777" w:rsidR="008D28BB" w:rsidRDefault="008D28BB" w:rsidP="000B3355">
            <w:pPr>
              <w:spacing w:after="0"/>
              <w:rPr>
                <w:rFonts w:ascii="Calibri" w:eastAsia="Calibri" w:hAnsi="Calibri" w:cs="Calibri"/>
                <w:color w:val="000000"/>
              </w:rPr>
            </w:pPr>
            <w:r>
              <w:rPr>
                <w:rFonts w:ascii="Calibri" w:eastAsia="Calibri" w:hAnsi="Calibri" w:cs="Calibri"/>
                <w:color w:val="000000"/>
              </w:rPr>
              <w:t> </w:t>
            </w:r>
          </w:p>
        </w:tc>
      </w:tr>
    </w:tbl>
    <w:bookmarkEnd w:id="4"/>
    <w:p w14:paraId="5F30E15E" w14:textId="79F6F249" w:rsidR="00B3086F" w:rsidRDefault="00B3086F" w:rsidP="00B3086F">
      <w:pPr>
        <w:pStyle w:val="Heading2"/>
        <w:spacing w:before="0" w:after="120" w:line="240" w:lineRule="auto"/>
        <w:rPr>
          <w:rFonts w:ascii="Times New Roman" w:hAnsi="Times New Roman" w:cs="Times New Roman"/>
          <w:szCs w:val="24"/>
          <w:lang w:val="en-US"/>
        </w:rPr>
      </w:pPr>
      <w:r w:rsidRPr="00B3086F">
        <w:rPr>
          <w:rFonts w:ascii="Times New Roman" w:hAnsi="Times New Roman" w:cs="Times New Roman"/>
          <w:szCs w:val="24"/>
          <w:lang w:val="en-US"/>
        </w:rPr>
        <w:t xml:space="preserve">Supplementary Material </w:t>
      </w:r>
      <w:r w:rsidR="00E4191E">
        <w:rPr>
          <w:rFonts w:ascii="Times New Roman" w:hAnsi="Times New Roman" w:cs="Times New Roman"/>
          <w:szCs w:val="24"/>
          <w:lang w:val="en-US"/>
        </w:rPr>
        <w:t>4</w:t>
      </w:r>
    </w:p>
    <w:p w14:paraId="67336D30" w14:textId="77777777" w:rsidR="00E4191E" w:rsidRDefault="001A5ED6" w:rsidP="00E4191E">
      <w:pPr>
        <w:rPr>
          <w:lang w:val="en-US"/>
        </w:rPr>
      </w:pPr>
      <w:r w:rsidRPr="00B11361">
        <w:rPr>
          <w:lang w:val="en-US"/>
        </w:rPr>
        <w:t>Guidelines for performing FGs discussion and PIs</w:t>
      </w:r>
    </w:p>
    <w:p w14:paraId="411D3DB7" w14:textId="045FB871" w:rsidR="00B3086F" w:rsidRPr="00E4191E" w:rsidRDefault="00B3086F" w:rsidP="00E4191E">
      <w:pPr>
        <w:rPr>
          <w:rFonts w:ascii="Times New Roman" w:hAnsi="Times New Roman" w:cs="Times New Roman"/>
          <w:b/>
          <w:bCs/>
          <w:sz w:val="28"/>
          <w:szCs w:val="28"/>
          <w:lang w:val="en-US"/>
        </w:rPr>
      </w:pPr>
      <w:r w:rsidRPr="00E4191E">
        <w:rPr>
          <w:rFonts w:ascii="Times New Roman" w:hAnsi="Times New Roman" w:cs="Times New Roman"/>
          <w:b/>
          <w:bCs/>
          <w:sz w:val="28"/>
          <w:szCs w:val="28"/>
        </w:rPr>
        <w:t>Focus Group/Interview Guide</w:t>
      </w:r>
    </w:p>
    <w:p w14:paraId="19D560C9" w14:textId="77777777" w:rsidR="00B3086F" w:rsidRDefault="00B3086F" w:rsidP="00B3086F">
      <w:pPr>
        <w:spacing w:after="120"/>
        <w:rPr>
          <w:b/>
          <w:color w:val="003399"/>
        </w:rPr>
      </w:pPr>
    </w:p>
    <w:p w14:paraId="29EEC78D" w14:textId="77777777" w:rsidR="00B3086F" w:rsidRDefault="00B3086F" w:rsidP="00B3086F">
      <w:pPr>
        <w:spacing w:after="120"/>
        <w:rPr>
          <w:b/>
          <w:color w:val="003399"/>
        </w:rPr>
      </w:pPr>
      <w:r>
        <w:rPr>
          <w:b/>
          <w:color w:val="003399"/>
        </w:rPr>
        <w:t>SUMMARY</w:t>
      </w:r>
    </w:p>
    <w:p w14:paraId="486A3F78" w14:textId="77777777" w:rsidR="00B3086F" w:rsidRDefault="00B3086F" w:rsidP="00B3086F">
      <w:pPr>
        <w:spacing w:after="120"/>
        <w:jc w:val="both"/>
      </w:pPr>
      <w:r>
        <w:t>This document defines the framework for implementing the qualitative research planned within WP4 of the “AcToVAx4NAM” project and more specifically for organizing Focus Groups (FGs) and Personal Interviews (PIs).</w:t>
      </w:r>
    </w:p>
    <w:p w14:paraId="2F11B0DE" w14:textId="77777777" w:rsidR="00B3086F" w:rsidRDefault="00B3086F" w:rsidP="00B3086F">
      <w:pPr>
        <w:spacing w:after="120"/>
        <w:jc w:val="both"/>
      </w:pPr>
      <w:r>
        <w:t>The qualitative research is an added value to the project, which will ensure that final solutions and recommendations will be based not only on the description of the systems and the published materials (as per Task 4.1, 4.2 and 4.3) but also on experiences of the target group (here called “professionals FOR health”). The aim is to achieve the characterization of system barriers (legal, linguistic, cultural, and logistic, etc.) and identification of possible and sustainable solutions emerging through a participatory approach.</w:t>
      </w:r>
    </w:p>
    <w:p w14:paraId="54BAF90F" w14:textId="77777777" w:rsidR="00B3086F" w:rsidRDefault="00B3086F" w:rsidP="00B3086F">
      <w:pPr>
        <w:spacing w:after="120"/>
        <w:jc w:val="both"/>
      </w:pPr>
    </w:p>
    <w:p w14:paraId="23F18812" w14:textId="77777777" w:rsidR="00B3086F" w:rsidRDefault="00B3086F" w:rsidP="00B3086F">
      <w:pPr>
        <w:spacing w:after="120"/>
        <w:jc w:val="both"/>
      </w:pPr>
      <w:r>
        <w:t xml:space="preserve">This guide sets the objectives, expected outcomes, and indicative guidelines for the local organizers and facilitators of FGs and PIs in all participating countries. More specifically, it intends to provide uniform guidance for the facilitators/moderators, </w:t>
      </w:r>
      <w:proofErr w:type="gramStart"/>
      <w:r>
        <w:t>in order to</w:t>
      </w:r>
      <w:proofErr w:type="gramEnd"/>
      <w:r>
        <w:t xml:space="preserve"> be able to conduct the FGs and PIs </w:t>
      </w:r>
      <w:proofErr w:type="spellStart"/>
      <w:r>
        <w:t>analyze</w:t>
      </w:r>
      <w:proofErr w:type="spellEnd"/>
      <w:r>
        <w:t xml:space="preserve"> the data and report the findings.</w:t>
      </w:r>
    </w:p>
    <w:p w14:paraId="03FDE94B" w14:textId="77777777" w:rsidR="00B3086F" w:rsidRDefault="00B3086F" w:rsidP="00B3086F">
      <w:pPr>
        <w:spacing w:after="120"/>
      </w:pPr>
      <w:bookmarkStart w:id="7" w:name="_heading=h.1pxezwc" w:colFirst="0" w:colLast="0"/>
      <w:bookmarkEnd w:id="7"/>
    </w:p>
    <w:p w14:paraId="3EEB920D" w14:textId="77777777" w:rsidR="00B3086F" w:rsidRDefault="00B3086F" w:rsidP="00B3086F">
      <w:pPr>
        <w:spacing w:after="120"/>
        <w:rPr>
          <w:b/>
          <w:color w:val="003399"/>
        </w:rPr>
      </w:pPr>
      <w:r>
        <w:rPr>
          <w:b/>
          <w:color w:val="003399"/>
        </w:rPr>
        <w:t xml:space="preserve">1. Focus groups and personal interviews </w:t>
      </w:r>
    </w:p>
    <w:p w14:paraId="6E4ED237" w14:textId="77777777" w:rsidR="00B3086F" w:rsidRDefault="00B3086F" w:rsidP="00B3086F">
      <w:pPr>
        <w:spacing w:after="120"/>
        <w:jc w:val="both"/>
      </w:pPr>
      <w:r>
        <w:t xml:space="preserve">The aim of the FGs and PIs is to gain insight into the experiences of the participants – meaning here professionals FOR health who work with Newly Arrived Migrants (NAMs) or migrants in general </w:t>
      </w:r>
      <w:proofErr w:type="gramStart"/>
      <w:r>
        <w:t>in order to</w:t>
      </w:r>
      <w:proofErr w:type="gramEnd"/>
      <w:r>
        <w:t xml:space="preserve">: </w:t>
      </w:r>
    </w:p>
    <w:p w14:paraId="60E36B7C" w14:textId="77777777" w:rsidR="00B3086F" w:rsidRDefault="00B3086F" w:rsidP="00B3086F">
      <w:pPr>
        <w:numPr>
          <w:ilvl w:val="0"/>
          <w:numId w:val="23"/>
        </w:numPr>
        <w:spacing w:after="120" w:line="240" w:lineRule="auto"/>
        <w:jc w:val="both"/>
      </w:pPr>
      <w:r>
        <w:t xml:space="preserve">identify and understand system barriers towards NAMs’ immunization (legal, linguistic, </w:t>
      </w:r>
      <w:proofErr w:type="gramStart"/>
      <w:r>
        <w:t>cultural</w:t>
      </w:r>
      <w:proofErr w:type="gramEnd"/>
      <w:r>
        <w:t xml:space="preserve"> and logistic), </w:t>
      </w:r>
    </w:p>
    <w:p w14:paraId="0F9F5648" w14:textId="77777777" w:rsidR="00B3086F" w:rsidRDefault="00B3086F" w:rsidP="00B3086F">
      <w:pPr>
        <w:numPr>
          <w:ilvl w:val="0"/>
          <w:numId w:val="23"/>
        </w:numPr>
        <w:spacing w:after="120" w:line="240" w:lineRule="auto"/>
        <w:jc w:val="both"/>
      </w:pPr>
      <w:r>
        <w:t xml:space="preserve">explore possible and sustainable solutions at country level. </w:t>
      </w:r>
    </w:p>
    <w:p w14:paraId="6EBDC0A6" w14:textId="77777777" w:rsidR="00B3086F" w:rsidRDefault="00B3086F" w:rsidP="00B3086F">
      <w:pPr>
        <w:spacing w:after="120"/>
        <w:jc w:val="both"/>
      </w:pPr>
      <w:r>
        <w:t xml:space="preserve">Emphasis will also be placed on the consequences of COVID-19 for the vaccination of NAMs </w:t>
      </w:r>
      <w:proofErr w:type="gramStart"/>
      <w:r>
        <w:t>and also</w:t>
      </w:r>
      <w:proofErr w:type="gramEnd"/>
      <w:r>
        <w:t xml:space="preserve"> on the opportunity COVID-19 has provided in the field of NAMs’ immunization, if any. </w:t>
      </w:r>
    </w:p>
    <w:p w14:paraId="00949EDD" w14:textId="77777777" w:rsidR="00B3086F" w:rsidRDefault="00B3086F" w:rsidP="00B3086F">
      <w:pPr>
        <w:spacing w:after="120"/>
        <w:jc w:val="both"/>
      </w:pPr>
      <w:r>
        <w:t>During the FGs and PIs we want to deepen into (a) the experiences of professionals involved with NAMs’ immunizations, and (b) the necessary cooperation between involved actors, concerning identified difficulties, and the tested or/ and proposed solutions.</w:t>
      </w:r>
    </w:p>
    <w:p w14:paraId="609F2FD1" w14:textId="77777777" w:rsidR="00B3086F" w:rsidRDefault="00B3086F" w:rsidP="00B3086F">
      <w:pPr>
        <w:spacing w:after="120"/>
        <w:jc w:val="both"/>
      </w:pPr>
      <w:r>
        <w:t>According to the AcToVax4NAM project operational definition, “NAMs” include:</w:t>
      </w:r>
    </w:p>
    <w:p w14:paraId="55FA5338" w14:textId="77777777" w:rsidR="00B3086F" w:rsidRDefault="00B3086F" w:rsidP="00B3086F">
      <w:pPr>
        <w:numPr>
          <w:ilvl w:val="0"/>
          <w:numId w:val="19"/>
        </w:numPr>
        <w:spacing w:after="120" w:line="240" w:lineRule="auto"/>
        <w:jc w:val="both"/>
      </w:pPr>
      <w:r>
        <w:t xml:space="preserve">Documented migrants, asylum seekers, refugees, and others forced to flee conflict, natural disasters or economic peril, as well as undocumented </w:t>
      </w:r>
      <w:proofErr w:type="gramStart"/>
      <w:r>
        <w:t>migrants</w:t>
      </w:r>
      <w:proofErr w:type="gramEnd"/>
    </w:p>
    <w:p w14:paraId="7F577F08" w14:textId="77777777" w:rsidR="00B3086F" w:rsidRDefault="00B3086F" w:rsidP="00B3086F">
      <w:pPr>
        <w:numPr>
          <w:ilvl w:val="0"/>
          <w:numId w:val="19"/>
        </w:numPr>
        <w:spacing w:after="120" w:line="240" w:lineRule="auto"/>
        <w:jc w:val="both"/>
      </w:pPr>
      <w:r>
        <w:t>A person with a different citizenship from the hosting country either from EU/EFTA Member States or Third countries</w:t>
      </w:r>
    </w:p>
    <w:p w14:paraId="5AB14121" w14:textId="77777777" w:rsidR="00B3086F" w:rsidRDefault="00B3086F" w:rsidP="00B3086F">
      <w:pPr>
        <w:numPr>
          <w:ilvl w:val="0"/>
          <w:numId w:val="19"/>
        </w:numPr>
        <w:spacing w:after="120" w:line="240" w:lineRule="auto"/>
        <w:jc w:val="both"/>
      </w:pPr>
      <w:r>
        <w:t xml:space="preserve">Entered the EU consortium country in the last 12 months, (excluding tourists and short visa and permit of &lt; 3 </w:t>
      </w:r>
      <w:proofErr w:type="gramStart"/>
      <w:r>
        <w:t>months)  plus</w:t>
      </w:r>
      <w:proofErr w:type="gramEnd"/>
      <w:r>
        <w:t xml:space="preserve"> 12 months in case of relocation or transfer from EU countries</w:t>
      </w:r>
    </w:p>
    <w:p w14:paraId="5D1C6621" w14:textId="77777777" w:rsidR="00B3086F" w:rsidRDefault="00B3086F" w:rsidP="00B3086F">
      <w:pPr>
        <w:spacing w:after="120"/>
        <w:jc w:val="both"/>
      </w:pPr>
    </w:p>
    <w:p w14:paraId="2586E358" w14:textId="77777777" w:rsidR="00B3086F" w:rsidRDefault="00B3086F" w:rsidP="00B3086F">
      <w:pPr>
        <w:spacing w:after="120"/>
        <w:rPr>
          <w:b/>
          <w:color w:val="003399"/>
        </w:rPr>
      </w:pPr>
      <w:bookmarkStart w:id="8" w:name="_heading=h.4k668n3" w:colFirst="0" w:colLast="0"/>
      <w:bookmarkEnd w:id="8"/>
      <w:r>
        <w:rPr>
          <w:b/>
          <w:color w:val="003399"/>
        </w:rPr>
        <w:t xml:space="preserve">2. Timeline </w:t>
      </w:r>
    </w:p>
    <w:p w14:paraId="42CC7B43" w14:textId="77777777" w:rsidR="00B3086F" w:rsidRDefault="00B3086F" w:rsidP="00B3086F">
      <w:pPr>
        <w:spacing w:after="120"/>
        <w:jc w:val="both"/>
      </w:pPr>
      <w:r>
        <w:t xml:space="preserve">All partners must submit their </w:t>
      </w:r>
      <w:proofErr w:type="gramStart"/>
      <w:r>
        <w:t>FGs</w:t>
      </w:r>
      <w:proofErr w:type="gramEnd"/>
      <w:r>
        <w:t xml:space="preserve"> and PIs reports to </w:t>
      </w:r>
      <w:r>
        <w:rPr>
          <w:b/>
        </w:rPr>
        <w:t>Prolepsis Institute on Friday, January 14, 2022.</w:t>
      </w:r>
    </w:p>
    <w:p w14:paraId="39A1A071" w14:textId="77777777" w:rsidR="00B3086F" w:rsidRDefault="00B3086F" w:rsidP="00B3086F">
      <w:pPr>
        <w:spacing w:after="120"/>
        <w:rPr>
          <w:b/>
          <w:color w:val="003399"/>
        </w:rPr>
      </w:pPr>
      <w:bookmarkStart w:id="9" w:name="_heading=h.2zbgiuw" w:colFirst="0" w:colLast="0"/>
      <w:bookmarkEnd w:id="9"/>
    </w:p>
    <w:p w14:paraId="0894E67F" w14:textId="77777777" w:rsidR="00B3086F" w:rsidRDefault="00B3086F" w:rsidP="00B3086F">
      <w:pPr>
        <w:spacing w:after="120"/>
        <w:rPr>
          <w:b/>
          <w:color w:val="003399"/>
        </w:rPr>
      </w:pPr>
      <w:r>
        <w:rPr>
          <w:b/>
          <w:color w:val="003399"/>
        </w:rPr>
        <w:t>3. Number of focus groups and personal interviews</w:t>
      </w:r>
    </w:p>
    <w:p w14:paraId="535B48A3" w14:textId="77777777" w:rsidR="00B3086F" w:rsidRDefault="00B3086F" w:rsidP="00B3086F">
      <w:pPr>
        <w:spacing w:after="120"/>
        <w:jc w:val="both"/>
      </w:pPr>
      <w:r>
        <w:rPr>
          <w:b/>
        </w:rPr>
        <w:t>Each partner country</w:t>
      </w:r>
      <w:r>
        <w:t xml:space="preserve"> will conduct:</w:t>
      </w:r>
    </w:p>
    <w:p w14:paraId="6FFE7F63" w14:textId="77777777" w:rsidR="00B3086F" w:rsidRDefault="00B3086F" w:rsidP="00B3086F">
      <w:pPr>
        <w:numPr>
          <w:ilvl w:val="0"/>
          <w:numId w:val="17"/>
        </w:numPr>
        <w:spacing w:after="120" w:line="240" w:lineRule="auto"/>
        <w:jc w:val="both"/>
      </w:pPr>
      <w:r>
        <w:rPr>
          <w:b/>
        </w:rPr>
        <w:t>2 focus groups, and</w:t>
      </w:r>
    </w:p>
    <w:p w14:paraId="1169E191" w14:textId="77777777" w:rsidR="00B3086F" w:rsidRDefault="00B3086F" w:rsidP="00B3086F">
      <w:pPr>
        <w:numPr>
          <w:ilvl w:val="0"/>
          <w:numId w:val="17"/>
        </w:numPr>
        <w:spacing w:after="120" w:line="240" w:lineRule="auto"/>
        <w:jc w:val="both"/>
      </w:pPr>
      <w:r>
        <w:rPr>
          <w:b/>
        </w:rPr>
        <w:t>3 personal interviews.</w:t>
      </w:r>
    </w:p>
    <w:p w14:paraId="25FF4108" w14:textId="77777777" w:rsidR="00B3086F" w:rsidRDefault="00B3086F" w:rsidP="00B3086F">
      <w:pPr>
        <w:spacing w:after="120"/>
        <w:rPr>
          <w:b/>
          <w:color w:val="003399"/>
        </w:rPr>
      </w:pPr>
      <w:bookmarkStart w:id="10" w:name="_heading=h.1egqt2p" w:colFirst="0" w:colLast="0"/>
      <w:bookmarkEnd w:id="10"/>
    </w:p>
    <w:p w14:paraId="4C6EA314" w14:textId="77777777" w:rsidR="00B3086F" w:rsidRDefault="00B3086F" w:rsidP="00B3086F">
      <w:pPr>
        <w:spacing w:after="120"/>
        <w:rPr>
          <w:b/>
          <w:color w:val="003399"/>
        </w:rPr>
      </w:pPr>
      <w:r>
        <w:rPr>
          <w:b/>
          <w:color w:val="003399"/>
        </w:rPr>
        <w:t>4. Duration of focus groups and personal interviews</w:t>
      </w:r>
    </w:p>
    <w:p w14:paraId="4B730191" w14:textId="77777777" w:rsidR="00B3086F" w:rsidRDefault="00B3086F" w:rsidP="00B3086F">
      <w:pPr>
        <w:numPr>
          <w:ilvl w:val="0"/>
          <w:numId w:val="13"/>
        </w:numPr>
        <w:spacing w:after="120" w:line="240" w:lineRule="auto"/>
        <w:jc w:val="both"/>
      </w:pPr>
      <w:r>
        <w:t xml:space="preserve">The duration of each Focus Group will be approximately 45-90 minutes. </w:t>
      </w:r>
    </w:p>
    <w:p w14:paraId="16100693" w14:textId="77777777" w:rsidR="00B3086F" w:rsidRDefault="00B3086F" w:rsidP="00B3086F">
      <w:pPr>
        <w:numPr>
          <w:ilvl w:val="0"/>
          <w:numId w:val="13"/>
        </w:numPr>
        <w:spacing w:after="120" w:line="240" w:lineRule="auto"/>
        <w:jc w:val="both"/>
      </w:pPr>
      <w:r>
        <w:t xml:space="preserve">The duration of each personal interview will be approximately 30-40 minutes. </w:t>
      </w:r>
    </w:p>
    <w:p w14:paraId="7FD8E248" w14:textId="77777777" w:rsidR="00B3086F" w:rsidRDefault="00B3086F" w:rsidP="00B3086F">
      <w:pPr>
        <w:spacing w:after="120"/>
        <w:ind w:left="284"/>
        <w:jc w:val="both"/>
      </w:pPr>
      <w:r>
        <w:t xml:space="preserve">The above time durations are indicative and depend on the country specific circumstances. </w:t>
      </w:r>
    </w:p>
    <w:p w14:paraId="3E6DDCCB" w14:textId="77777777" w:rsidR="00B3086F" w:rsidRDefault="00B3086F" w:rsidP="00B3086F">
      <w:pPr>
        <w:spacing w:after="120"/>
        <w:rPr>
          <w:b/>
          <w:color w:val="003399"/>
        </w:rPr>
      </w:pPr>
      <w:bookmarkStart w:id="11" w:name="_heading=h.3ygebqi" w:colFirst="0" w:colLast="0"/>
      <w:bookmarkEnd w:id="11"/>
    </w:p>
    <w:p w14:paraId="17BC1C4F" w14:textId="77777777" w:rsidR="00B3086F" w:rsidRDefault="00B3086F" w:rsidP="00B3086F">
      <w:pPr>
        <w:spacing w:after="120"/>
        <w:rPr>
          <w:b/>
          <w:color w:val="003399"/>
        </w:rPr>
      </w:pPr>
      <w:r>
        <w:rPr>
          <w:b/>
          <w:color w:val="003399"/>
        </w:rPr>
        <w:t xml:space="preserve">5. Participants </w:t>
      </w:r>
    </w:p>
    <w:p w14:paraId="2696BDE5" w14:textId="77777777" w:rsidR="00B3086F" w:rsidRDefault="00B3086F" w:rsidP="00B3086F">
      <w:pPr>
        <w:spacing w:after="120"/>
        <w:rPr>
          <w:i/>
          <w:color w:val="FB9B1C"/>
        </w:rPr>
      </w:pPr>
      <w:r>
        <w:rPr>
          <w:i/>
          <w:color w:val="FB9B1C"/>
        </w:rPr>
        <w:t xml:space="preserve">Number of participants </w:t>
      </w:r>
    </w:p>
    <w:p w14:paraId="7FFFC0B2" w14:textId="77777777" w:rsidR="00B3086F" w:rsidRDefault="00B3086F" w:rsidP="00B3086F">
      <w:pPr>
        <w:spacing w:after="120"/>
        <w:jc w:val="both"/>
      </w:pPr>
      <w:r>
        <w:t xml:space="preserve">The number of participants in each FG will be </w:t>
      </w:r>
      <w:r>
        <w:rPr>
          <w:b/>
        </w:rPr>
        <w:t>8-10</w:t>
      </w:r>
      <w:r>
        <w:t xml:space="preserve">. Therefore, the total number of FG participants per country in the qualitative study will be </w:t>
      </w:r>
      <w:r>
        <w:rPr>
          <w:b/>
        </w:rPr>
        <w:t>16-20</w:t>
      </w:r>
      <w:r>
        <w:t>. However, the recruitment of participants can be a very demanding process, hence the optimal number may be difficult to reach and therefore, each FG should aim to reach at least 6-8 participants. Yet, we are trying for the optimum participation that is, 8-10.</w:t>
      </w:r>
    </w:p>
    <w:p w14:paraId="119069F3" w14:textId="77777777" w:rsidR="00B3086F" w:rsidRDefault="00B3086F" w:rsidP="00B3086F">
      <w:pPr>
        <w:spacing w:after="120"/>
        <w:jc w:val="both"/>
      </w:pPr>
      <w:r>
        <w:t xml:space="preserve">The total number of personal </w:t>
      </w:r>
      <w:proofErr w:type="gramStart"/>
      <w:r>
        <w:t>interview</w:t>
      </w:r>
      <w:proofErr w:type="gramEnd"/>
      <w:r>
        <w:t xml:space="preserve">’ participants per country in the qualitative study is </w:t>
      </w:r>
      <w:r>
        <w:rPr>
          <w:b/>
        </w:rPr>
        <w:t>3</w:t>
      </w:r>
      <w:r>
        <w:t>.</w:t>
      </w:r>
    </w:p>
    <w:p w14:paraId="6C3D375D" w14:textId="77777777" w:rsidR="00B3086F" w:rsidRDefault="00B3086F" w:rsidP="00B3086F">
      <w:pPr>
        <w:spacing w:after="120"/>
        <w:jc w:val="both"/>
        <w:rPr>
          <w:b/>
        </w:rPr>
      </w:pPr>
      <w:r>
        <w:rPr>
          <w:b/>
        </w:rPr>
        <w:t>The optimal number of participants in the AcToVAx4NAM qualitative study is 19-23.</w:t>
      </w:r>
    </w:p>
    <w:p w14:paraId="0381CB72" w14:textId="77777777" w:rsidR="00B3086F" w:rsidRDefault="00B3086F" w:rsidP="00B3086F">
      <w:pPr>
        <w:spacing w:after="120"/>
        <w:jc w:val="both"/>
        <w:rPr>
          <w:i/>
          <w:color w:val="FB9B1C"/>
        </w:rPr>
      </w:pPr>
      <w:r>
        <w:rPr>
          <w:i/>
          <w:color w:val="FB9B1C"/>
        </w:rPr>
        <w:t xml:space="preserve">Recruitment and eligible participants </w:t>
      </w:r>
    </w:p>
    <w:p w14:paraId="2566942E" w14:textId="77777777" w:rsidR="00B3086F" w:rsidRDefault="00B3086F" w:rsidP="00B3086F">
      <w:pPr>
        <w:spacing w:after="120"/>
        <w:jc w:val="both"/>
        <w:rPr>
          <w:i/>
          <w:color w:val="FB9B1C"/>
        </w:rPr>
      </w:pPr>
      <w:r>
        <w:t xml:space="preserve">Participants can be recruited in various ways, based on the country-specific cultural and institutional context. Due to time constraints, partners could use gatekeepers and their organization’s networks. Gatekeepers are individuals or organizations who have a prominent role in each target population. </w:t>
      </w:r>
    </w:p>
    <w:p w14:paraId="6B4F724A" w14:textId="77777777" w:rsidR="00B3086F" w:rsidRDefault="00B3086F" w:rsidP="00B3086F">
      <w:pPr>
        <w:spacing w:after="120"/>
        <w:jc w:val="both"/>
      </w:pPr>
      <w:r>
        <w:t xml:space="preserve">FG participants include the following groups: </w:t>
      </w:r>
    </w:p>
    <w:p w14:paraId="61E068F5" w14:textId="77777777" w:rsidR="00B3086F" w:rsidRDefault="00B3086F" w:rsidP="00B3086F">
      <w:pPr>
        <w:numPr>
          <w:ilvl w:val="1"/>
          <w:numId w:val="14"/>
        </w:numPr>
        <w:spacing w:after="120" w:line="240" w:lineRule="auto"/>
        <w:ind w:left="567" w:hanging="283"/>
        <w:jc w:val="both"/>
      </w:pPr>
      <w:r>
        <w:t>Health and social care professionals who work in the field of delivery of immunizations with special attention to migrants if possible. Their occupation could be physicians, nurses, social workers, psychologists, cultural mediators etc.</w:t>
      </w:r>
    </w:p>
    <w:p w14:paraId="79276461" w14:textId="77777777" w:rsidR="00B3086F" w:rsidRDefault="00B3086F" w:rsidP="00B3086F">
      <w:pPr>
        <w:spacing w:after="120"/>
        <w:jc w:val="both"/>
      </w:pPr>
      <w:r>
        <w:t xml:space="preserve">Therefore, participants need to work in the day-to-day delivery of immunization (with special attention to migrants and NAMs if possible) and could be recruited from different locations, </w:t>
      </w:r>
      <w:proofErr w:type="gramStart"/>
      <w:r>
        <w:t>i.e.</w:t>
      </w:r>
      <w:proofErr w:type="gramEnd"/>
      <w:r>
        <w:t xml:space="preserve"> health centres, vaccination local/ national units, NGOs, entry camps, first reception, detention, apartments, associations, shelter </w:t>
      </w:r>
      <w:proofErr w:type="spellStart"/>
      <w:r>
        <w:t>centers</w:t>
      </w:r>
      <w:proofErr w:type="spellEnd"/>
      <w:r>
        <w:t>, where both children/ adolescents and adults are cared for.</w:t>
      </w:r>
    </w:p>
    <w:p w14:paraId="7742D439" w14:textId="77777777" w:rsidR="00B3086F" w:rsidRDefault="00B3086F" w:rsidP="00B3086F">
      <w:pPr>
        <w:spacing w:after="120"/>
        <w:jc w:val="both"/>
        <w:rPr>
          <w:b/>
          <w:u w:val="single"/>
        </w:rPr>
      </w:pPr>
      <w:r>
        <w:rPr>
          <w:b/>
          <w:u w:val="single"/>
        </w:rPr>
        <w:t>This group of professionals constitute the participants of the 1</w:t>
      </w:r>
      <w:r>
        <w:rPr>
          <w:b/>
          <w:u w:val="single"/>
          <w:vertAlign w:val="superscript"/>
        </w:rPr>
        <w:t>st</w:t>
      </w:r>
      <w:r>
        <w:rPr>
          <w:b/>
          <w:u w:val="single"/>
        </w:rPr>
        <w:t xml:space="preserve"> Focus Group </w:t>
      </w:r>
    </w:p>
    <w:p w14:paraId="59D479A1" w14:textId="77777777" w:rsidR="00B3086F" w:rsidRDefault="00B3086F" w:rsidP="00B3086F">
      <w:pPr>
        <w:spacing w:after="120"/>
        <w:ind w:left="720"/>
        <w:jc w:val="both"/>
        <w:rPr>
          <w:b/>
        </w:rPr>
      </w:pPr>
    </w:p>
    <w:p w14:paraId="474AF71F" w14:textId="77777777" w:rsidR="00B3086F" w:rsidRDefault="00B3086F" w:rsidP="00B3086F">
      <w:pPr>
        <w:numPr>
          <w:ilvl w:val="0"/>
          <w:numId w:val="10"/>
        </w:numPr>
        <w:spacing w:after="120" w:line="240" w:lineRule="auto"/>
        <w:ind w:left="567" w:hanging="283"/>
        <w:jc w:val="both"/>
        <w:rPr>
          <w:b/>
        </w:rPr>
      </w:pPr>
      <w:r>
        <w:rPr>
          <w:b/>
        </w:rPr>
        <w:t xml:space="preserve">Professionals, who work in managing/organizing immunization services with special attention to migrants if possible. </w:t>
      </w:r>
      <w:r>
        <w:t xml:space="preserve">Their occupation could be managers, administrative staff, physicians, nurses, social workers working in managing/organizing immunization services. </w:t>
      </w:r>
    </w:p>
    <w:p w14:paraId="21F72DBD" w14:textId="77777777" w:rsidR="00B3086F" w:rsidRDefault="00B3086F" w:rsidP="00B3086F">
      <w:pPr>
        <w:spacing w:after="120"/>
        <w:jc w:val="both"/>
      </w:pPr>
      <w:r>
        <w:t xml:space="preserve">Therefore, participants need to work in the management, organization and administration of the immunization services to NAMs and could be recruited from different locations, i.e. health centres, vaccination local/national units, NGOs, entry camps, first reception, detention, </w:t>
      </w:r>
      <w:proofErr w:type="gramStart"/>
      <w:r>
        <w:t>associations,  where</w:t>
      </w:r>
      <w:proofErr w:type="gramEnd"/>
      <w:r>
        <w:t xml:space="preserve"> both children/adolescents and adults are cared for.</w:t>
      </w:r>
    </w:p>
    <w:p w14:paraId="22A27E75" w14:textId="77777777" w:rsidR="00B3086F" w:rsidRDefault="00B3086F" w:rsidP="00B3086F">
      <w:pPr>
        <w:spacing w:after="120"/>
        <w:jc w:val="both"/>
        <w:rPr>
          <w:b/>
          <w:u w:val="single"/>
        </w:rPr>
      </w:pPr>
      <w:r>
        <w:rPr>
          <w:b/>
          <w:u w:val="single"/>
        </w:rPr>
        <w:t>This group of professionals constitute the participants of the 2</w:t>
      </w:r>
      <w:r>
        <w:rPr>
          <w:b/>
          <w:u w:val="single"/>
          <w:vertAlign w:val="superscript"/>
        </w:rPr>
        <w:t>nd</w:t>
      </w:r>
      <w:r>
        <w:rPr>
          <w:b/>
          <w:u w:val="single"/>
        </w:rPr>
        <w:t xml:space="preserve"> Focus Group </w:t>
      </w:r>
    </w:p>
    <w:p w14:paraId="4EDA1D54" w14:textId="77777777" w:rsidR="00B3086F" w:rsidRDefault="00B3086F" w:rsidP="00B3086F">
      <w:pPr>
        <w:spacing w:after="120"/>
        <w:ind w:left="1080"/>
        <w:jc w:val="both"/>
        <w:rPr>
          <w:b/>
          <w:u w:val="single"/>
        </w:rPr>
      </w:pPr>
    </w:p>
    <w:p w14:paraId="20A3FCA7" w14:textId="77777777" w:rsidR="00B3086F" w:rsidRDefault="00B3086F" w:rsidP="00B3086F">
      <w:pPr>
        <w:numPr>
          <w:ilvl w:val="1"/>
          <w:numId w:val="10"/>
        </w:numPr>
        <w:spacing w:after="120" w:line="240" w:lineRule="auto"/>
        <w:ind w:left="567" w:hanging="283"/>
        <w:jc w:val="both"/>
        <w:rPr>
          <w:color w:val="FB9B1C"/>
        </w:rPr>
      </w:pPr>
      <w:r>
        <w:rPr>
          <w:b/>
        </w:rPr>
        <w:t xml:space="preserve">Experts related to immunization planning with special attention to migrants if possible. </w:t>
      </w:r>
      <w:r>
        <w:t xml:space="preserve">They could be policy makers, public health experts, actors involved in the development of the National Immunization Plan, migrant community leaders, etc. </w:t>
      </w:r>
    </w:p>
    <w:p w14:paraId="4E20640A" w14:textId="77777777" w:rsidR="00B3086F" w:rsidRDefault="00B3086F" w:rsidP="00B3086F">
      <w:pPr>
        <w:spacing w:after="120"/>
        <w:jc w:val="both"/>
        <w:rPr>
          <w:color w:val="FB9B1C"/>
        </w:rPr>
      </w:pPr>
      <w:r>
        <w:t xml:space="preserve">Therefore, participants have a higher professional status and could be recruited from different locations, </w:t>
      </w:r>
      <w:proofErr w:type="gramStart"/>
      <w:r>
        <w:t>i.e.</w:t>
      </w:r>
      <w:proofErr w:type="gramEnd"/>
      <w:r>
        <w:t xml:space="preserve"> Ministries, Institutes of Health, Universities, regional health services, hospitals, International NGOs, Migrants’ organizations etc.</w:t>
      </w:r>
    </w:p>
    <w:p w14:paraId="4BAAB783" w14:textId="77777777" w:rsidR="00B3086F" w:rsidRDefault="00B3086F" w:rsidP="00B3086F">
      <w:pPr>
        <w:spacing w:after="120"/>
        <w:jc w:val="both"/>
        <w:rPr>
          <w:b/>
          <w:u w:val="single"/>
        </w:rPr>
      </w:pPr>
      <w:r>
        <w:rPr>
          <w:b/>
          <w:u w:val="single"/>
        </w:rPr>
        <w:t xml:space="preserve">This group of professionals will be the participants of the 3 Personal Interviews  </w:t>
      </w:r>
    </w:p>
    <w:p w14:paraId="6F4EFB4C" w14:textId="77777777" w:rsidR="00B3086F" w:rsidRDefault="00B3086F" w:rsidP="00B3086F">
      <w:pPr>
        <w:spacing w:after="120"/>
        <w:jc w:val="both"/>
        <w:rPr>
          <w:b/>
        </w:rPr>
      </w:pPr>
    </w:p>
    <w:p w14:paraId="440B833A" w14:textId="77777777" w:rsidR="00B3086F" w:rsidRDefault="00B3086F" w:rsidP="00B3086F">
      <w:pPr>
        <w:spacing w:after="120"/>
        <w:jc w:val="both"/>
        <w:rPr>
          <w:b/>
        </w:rPr>
      </w:pPr>
      <w:r>
        <w:rPr>
          <w:b/>
        </w:rPr>
        <w:t>Important considerations:</w:t>
      </w:r>
    </w:p>
    <w:p w14:paraId="08B62236" w14:textId="77777777" w:rsidR="00B3086F" w:rsidRDefault="00B3086F" w:rsidP="00B3086F">
      <w:pPr>
        <w:numPr>
          <w:ilvl w:val="0"/>
          <w:numId w:val="20"/>
        </w:numPr>
        <w:spacing w:after="120" w:line="240" w:lineRule="auto"/>
        <w:jc w:val="both"/>
        <w:rPr>
          <w:b/>
          <w:color w:val="FB9B1C"/>
        </w:rPr>
      </w:pPr>
      <w:r>
        <w:rPr>
          <w:b/>
        </w:rPr>
        <w:t xml:space="preserve">Partner-countries need to choose, if they will consider the discussion on NAMs immunization at national or local level or both taking into consideration each country’s specific situation.  </w:t>
      </w:r>
    </w:p>
    <w:p w14:paraId="4E4B38CC" w14:textId="77777777" w:rsidR="00B3086F" w:rsidRDefault="00B3086F" w:rsidP="00B3086F">
      <w:pPr>
        <w:numPr>
          <w:ilvl w:val="0"/>
          <w:numId w:val="20"/>
        </w:numPr>
        <w:spacing w:after="120" w:line="240" w:lineRule="auto"/>
        <w:jc w:val="both"/>
        <w:rPr>
          <w:b/>
          <w:color w:val="FB9B1C"/>
        </w:rPr>
      </w:pPr>
      <w:r>
        <w:rPr>
          <w:b/>
        </w:rPr>
        <w:t xml:space="preserve">We are interested in NAMs’ immunization throughout the life course. Therefore, it is important to recruit participants, who work both with children/adolescents and adult/elder NAMs. </w:t>
      </w:r>
    </w:p>
    <w:p w14:paraId="36CED961" w14:textId="77777777" w:rsidR="00B3086F" w:rsidRDefault="00B3086F" w:rsidP="00B3086F">
      <w:pPr>
        <w:numPr>
          <w:ilvl w:val="0"/>
          <w:numId w:val="20"/>
        </w:numPr>
        <w:spacing w:after="120" w:line="240" w:lineRule="auto"/>
        <w:jc w:val="both"/>
        <w:rPr>
          <w:b/>
          <w:color w:val="FB9B1C"/>
        </w:rPr>
      </w:pPr>
      <w:r>
        <w:rPr>
          <w:b/>
        </w:rPr>
        <w:t xml:space="preserve">Another important factor is the legal status of NAMs. Therefore, it is important to recruit participants who work with the different categories of NAMs as outlined in the project NAM definition. </w:t>
      </w:r>
    </w:p>
    <w:p w14:paraId="38762DF6" w14:textId="77777777" w:rsidR="00B3086F" w:rsidRDefault="00B3086F" w:rsidP="00B3086F">
      <w:pPr>
        <w:numPr>
          <w:ilvl w:val="1"/>
          <w:numId w:val="20"/>
        </w:numPr>
        <w:spacing w:after="120" w:line="240" w:lineRule="auto"/>
        <w:jc w:val="both"/>
      </w:pPr>
      <w:r>
        <w:t xml:space="preserve">Documented migrants, asylum seekers, refugees, and others forced to flee conflict, natural disasters or economic peril, as well as undocumented </w:t>
      </w:r>
      <w:proofErr w:type="gramStart"/>
      <w:r>
        <w:t>migrants</w:t>
      </w:r>
      <w:proofErr w:type="gramEnd"/>
    </w:p>
    <w:p w14:paraId="28CE1A66" w14:textId="77777777" w:rsidR="00B3086F" w:rsidRDefault="00B3086F" w:rsidP="00B3086F">
      <w:pPr>
        <w:numPr>
          <w:ilvl w:val="1"/>
          <w:numId w:val="20"/>
        </w:numPr>
        <w:spacing w:after="120" w:line="240" w:lineRule="auto"/>
        <w:jc w:val="both"/>
      </w:pPr>
      <w:r>
        <w:t>A person with a different citizenship from the hosting country either from EU/EFTA Member States or Third countries</w:t>
      </w:r>
    </w:p>
    <w:p w14:paraId="05D78157" w14:textId="77777777" w:rsidR="00B3086F" w:rsidRDefault="00B3086F" w:rsidP="00B3086F">
      <w:pPr>
        <w:numPr>
          <w:ilvl w:val="1"/>
          <w:numId w:val="20"/>
        </w:numPr>
        <w:spacing w:after="120" w:line="240" w:lineRule="auto"/>
        <w:jc w:val="both"/>
      </w:pPr>
      <w:r>
        <w:t xml:space="preserve">Entered the EU consortium country in the last 12 months, (excluding tourists and short visa and permit of &lt; 3 months) ® 12 months in case of relocation or transfer from EU </w:t>
      </w:r>
      <w:proofErr w:type="gramStart"/>
      <w:r>
        <w:t>countries</w:t>
      </w:r>
      <w:proofErr w:type="gramEnd"/>
    </w:p>
    <w:p w14:paraId="3789A89E" w14:textId="77777777" w:rsidR="00B3086F" w:rsidRDefault="00B3086F" w:rsidP="00B3086F">
      <w:pPr>
        <w:spacing w:after="120"/>
        <w:jc w:val="both"/>
      </w:pPr>
    </w:p>
    <w:p w14:paraId="37169036" w14:textId="77777777" w:rsidR="00B3086F" w:rsidRDefault="00B3086F" w:rsidP="00B3086F">
      <w:pPr>
        <w:spacing w:after="120"/>
        <w:rPr>
          <w:b/>
          <w:color w:val="003399"/>
        </w:rPr>
      </w:pPr>
      <w:bookmarkStart w:id="12" w:name="_heading=h.2dlolyb" w:colFirst="0" w:colLast="0"/>
      <w:bookmarkEnd w:id="12"/>
      <w:r>
        <w:rPr>
          <w:b/>
          <w:color w:val="003399"/>
        </w:rPr>
        <w:t>6. Delivery of focus groups and personal interviews</w:t>
      </w:r>
    </w:p>
    <w:p w14:paraId="77A74726" w14:textId="77777777" w:rsidR="00B3086F" w:rsidRDefault="00B3086F" w:rsidP="00B3086F">
      <w:pPr>
        <w:spacing w:after="120"/>
        <w:rPr>
          <w:i/>
          <w:color w:val="FB9B1C"/>
        </w:rPr>
      </w:pPr>
      <w:r>
        <w:rPr>
          <w:i/>
          <w:color w:val="FB9B1C"/>
        </w:rPr>
        <w:t>On-line focus groups and personal interviews</w:t>
      </w:r>
    </w:p>
    <w:p w14:paraId="67616D58" w14:textId="77777777" w:rsidR="00B3086F" w:rsidRDefault="00B3086F" w:rsidP="00B3086F">
      <w:pPr>
        <w:spacing w:after="120"/>
        <w:jc w:val="both"/>
      </w:pPr>
      <w:r>
        <w:t xml:space="preserve">Due to the coronavirus pandemic and in accordance </w:t>
      </w:r>
      <w:proofErr w:type="gramStart"/>
      <w:r>
        <w:t>to</w:t>
      </w:r>
      <w:proofErr w:type="gramEnd"/>
      <w:r>
        <w:t xml:space="preserve"> each partner country’s safety guidelines, FGs and PIs might need to change to online focus groups and personal interviews. This modification does not alter the “classic” focus group/ personal interview methodology, which is described more thoroughly in the next chapters. Nevertheless, in the following section we have included empirical data that might be useful in case partners have to conduct online focus groups/ personal interviews:</w:t>
      </w:r>
    </w:p>
    <w:p w14:paraId="1FACC294" w14:textId="77777777" w:rsidR="00B3086F" w:rsidRDefault="00B3086F" w:rsidP="00B3086F">
      <w:pPr>
        <w:numPr>
          <w:ilvl w:val="0"/>
          <w:numId w:val="18"/>
        </w:numPr>
        <w:spacing w:after="120" w:line="240" w:lineRule="auto"/>
        <w:jc w:val="both"/>
      </w:pPr>
      <w:r>
        <w:rPr>
          <w:b/>
        </w:rPr>
        <w:t>Selection of an online platform:</w:t>
      </w:r>
      <w:r>
        <w:t xml:space="preserve"> Each partner organization is free to choose whichever platform they wish to use. Prior experience with online FGs has shown that Zoom is a reliable platform.</w:t>
      </w:r>
    </w:p>
    <w:p w14:paraId="41B17A0A" w14:textId="77777777" w:rsidR="00B3086F" w:rsidRDefault="00B3086F" w:rsidP="00B3086F">
      <w:pPr>
        <w:numPr>
          <w:ilvl w:val="0"/>
          <w:numId w:val="18"/>
        </w:numPr>
        <w:spacing w:after="120" w:line="240" w:lineRule="auto"/>
        <w:jc w:val="both"/>
      </w:pPr>
      <w:r>
        <w:rPr>
          <w:b/>
        </w:rPr>
        <w:t>Demographics questionnaire and consent form:</w:t>
      </w:r>
      <w:r>
        <w:t xml:space="preserve"> both can be emailed to participants a few days before the online focus groups. For example, for FGs conducted in Greece, questionnaires translated into Greek and transferred into a Google Form platform. </w:t>
      </w:r>
    </w:p>
    <w:p w14:paraId="50A3960B" w14:textId="77777777" w:rsidR="00B3086F" w:rsidRDefault="00B3086F" w:rsidP="00B3086F">
      <w:pPr>
        <w:numPr>
          <w:ilvl w:val="0"/>
          <w:numId w:val="18"/>
        </w:numPr>
        <w:spacing w:after="120" w:line="240" w:lineRule="auto"/>
        <w:jc w:val="both"/>
      </w:pPr>
      <w:r>
        <w:rPr>
          <w:b/>
        </w:rPr>
        <w:t>Recorder:</w:t>
      </w:r>
      <w:r>
        <w:t xml:space="preserve"> Online platforms usually have the option of recording. Participants need to provide their consent before the use of the recording (consent form).</w:t>
      </w:r>
    </w:p>
    <w:p w14:paraId="2EBFF79E" w14:textId="77777777" w:rsidR="00B3086F" w:rsidRDefault="00B3086F" w:rsidP="00B3086F">
      <w:pPr>
        <w:numPr>
          <w:ilvl w:val="0"/>
          <w:numId w:val="18"/>
        </w:numPr>
        <w:spacing w:after="120" w:line="240" w:lineRule="auto"/>
        <w:jc w:val="both"/>
      </w:pPr>
      <w:r>
        <w:rPr>
          <w:b/>
        </w:rPr>
        <w:t>The role of the note taker:</w:t>
      </w:r>
      <w:r>
        <w:t xml:space="preserve"> The note taker/second moderator could also engage with the technical issues, since during the online focus groups technical limitations and problems might occur. The note taker/second moderator could effectively solve these issues. This way the conversation flow remains unaffected.</w:t>
      </w:r>
    </w:p>
    <w:p w14:paraId="158B3727" w14:textId="77777777" w:rsidR="00B3086F" w:rsidRDefault="00B3086F" w:rsidP="00B3086F">
      <w:pPr>
        <w:spacing w:after="120"/>
        <w:rPr>
          <w:i/>
          <w:color w:val="FB9B1C"/>
        </w:rPr>
      </w:pPr>
      <w:r>
        <w:rPr>
          <w:i/>
          <w:color w:val="FB9B1C"/>
        </w:rPr>
        <w:t>Consent of participants</w:t>
      </w:r>
    </w:p>
    <w:p w14:paraId="18CF82FA" w14:textId="77777777" w:rsidR="00B3086F" w:rsidRDefault="00B3086F" w:rsidP="00B3086F">
      <w:pPr>
        <w:spacing w:after="120"/>
        <w:jc w:val="both"/>
      </w:pPr>
      <w:r>
        <w:t xml:space="preserve">Participants need to provide their consent for participation in the focus groups and personal interviews. A consent form in English is provided in </w:t>
      </w:r>
      <w:r>
        <w:rPr>
          <w:b/>
        </w:rPr>
        <w:t>Annex 1</w:t>
      </w:r>
      <w:r>
        <w:t>. The consent form needs to be translated in each partner country language. All participants need to provide a signed consent form before participating in the focus groups/ personal interview. The facilitators need to collect the signed consent forms and keep them in confidential records. For on-line focus groups/ personal interviews, the participants need to fill in the form and send it electronically.</w:t>
      </w:r>
    </w:p>
    <w:p w14:paraId="6BE05FF3" w14:textId="77777777" w:rsidR="00B3086F" w:rsidRDefault="00B3086F" w:rsidP="00B3086F">
      <w:pPr>
        <w:spacing w:after="120"/>
        <w:jc w:val="both"/>
      </w:pPr>
      <w:r>
        <w:rPr>
          <w:b/>
        </w:rPr>
        <w:t>Important information about the consent forms (Annex 1):</w:t>
      </w:r>
      <w:r>
        <w:t xml:space="preserve"> the informed consent forms will be collected under the responsibility of each partner organization. Each partner organization should store them during the whole project ensuring all privacy related issues.</w:t>
      </w:r>
    </w:p>
    <w:p w14:paraId="19CDD0C9" w14:textId="77777777" w:rsidR="00B3086F" w:rsidRDefault="00B3086F" w:rsidP="00B3086F">
      <w:pPr>
        <w:spacing w:after="120"/>
        <w:jc w:val="both"/>
        <w:rPr>
          <w:i/>
          <w:color w:val="FB9B1C"/>
        </w:rPr>
      </w:pPr>
      <w:r>
        <w:rPr>
          <w:i/>
          <w:color w:val="FB9B1C"/>
        </w:rPr>
        <w:t>Descriptive characteristics of participants</w:t>
      </w:r>
    </w:p>
    <w:p w14:paraId="07CF6AE4" w14:textId="77777777" w:rsidR="00B3086F" w:rsidRDefault="00B3086F" w:rsidP="00B3086F">
      <w:pPr>
        <w:spacing w:after="120"/>
        <w:jc w:val="both"/>
      </w:pPr>
      <w:r>
        <w:t xml:space="preserve">It is important to collect some descriptive characteristics of the FG/PI participants. A descriptive questionnaire in English is provided in </w:t>
      </w:r>
      <w:r>
        <w:rPr>
          <w:b/>
        </w:rPr>
        <w:t>Annex 2</w:t>
      </w:r>
      <w:r>
        <w:t xml:space="preserve">. The questionnaire does not contain any personal information/ identifiers, such as names, e-mails etc. The questionnaire needs to be translated in each partner country language. All participants need to fill in the descriptive questionnaires before participating in the focus groups/ personal interview. The facilitators need to collect the questionnaires. </w:t>
      </w:r>
    </w:p>
    <w:p w14:paraId="3B446553" w14:textId="77777777" w:rsidR="00B3086F" w:rsidRDefault="00B3086F" w:rsidP="00B3086F">
      <w:pPr>
        <w:spacing w:after="120"/>
        <w:jc w:val="both"/>
      </w:pPr>
      <w:r>
        <w:rPr>
          <w:b/>
        </w:rPr>
        <w:t>For on-line focus groups/personal interviews</w:t>
      </w:r>
      <w:r>
        <w:t>, partners could transfer the questionnaires into “google forms”. Participants will be able to fill in the questionnaires electronically.</w:t>
      </w:r>
    </w:p>
    <w:p w14:paraId="49EFF958" w14:textId="77777777" w:rsidR="00B3086F" w:rsidRDefault="00B3086F" w:rsidP="00B3086F">
      <w:pPr>
        <w:spacing w:after="120"/>
        <w:jc w:val="both"/>
      </w:pPr>
      <w:r>
        <w:rPr>
          <w:b/>
        </w:rPr>
        <w:t>Important considerations about the descriptive questionnaire (Annex 2):</w:t>
      </w:r>
      <w:r>
        <w:t xml:space="preserve"> </w:t>
      </w:r>
    </w:p>
    <w:p w14:paraId="163D76CB" w14:textId="77777777" w:rsidR="00B3086F" w:rsidRDefault="00B3086F" w:rsidP="00B3086F">
      <w:pPr>
        <w:numPr>
          <w:ilvl w:val="0"/>
          <w:numId w:val="16"/>
        </w:numPr>
        <w:spacing w:after="120" w:line="240" w:lineRule="auto"/>
        <w:jc w:val="both"/>
        <w:rPr>
          <w:b/>
        </w:rPr>
      </w:pPr>
      <w:r>
        <w:rPr>
          <w:b/>
        </w:rPr>
        <w:t>After the completion of the fieldwork, partners should send Prolepsis an excel file without personal identification for privacy reasons, including the data of the descriptive questionnaires.</w:t>
      </w:r>
    </w:p>
    <w:p w14:paraId="4F030AB5" w14:textId="77777777" w:rsidR="00B3086F" w:rsidRDefault="00B3086F" w:rsidP="00B3086F">
      <w:pPr>
        <w:numPr>
          <w:ilvl w:val="0"/>
          <w:numId w:val="16"/>
        </w:numPr>
        <w:spacing w:after="120" w:line="240" w:lineRule="auto"/>
        <w:jc w:val="both"/>
      </w:pPr>
      <w:r>
        <w:t xml:space="preserve">The descriptive questionnaires are provided for completion at the beginning of each focus group/ personal interview. It is crucial to collect accurate descriptive information about participants’ demographics. Demographics are important for the data analysis as well as research/publication purposes. </w:t>
      </w:r>
    </w:p>
    <w:p w14:paraId="42BEAE1A" w14:textId="77777777" w:rsidR="00B3086F" w:rsidRDefault="00B3086F" w:rsidP="00B3086F">
      <w:pPr>
        <w:spacing w:after="120"/>
        <w:jc w:val="both"/>
        <w:rPr>
          <w:i/>
          <w:color w:val="FB9B1C"/>
        </w:rPr>
      </w:pPr>
      <w:r>
        <w:rPr>
          <w:i/>
          <w:color w:val="FB9B1C"/>
        </w:rPr>
        <w:t>Topics of the focus group discussion/personal interviews</w:t>
      </w:r>
    </w:p>
    <w:p w14:paraId="2829E7F3" w14:textId="77777777" w:rsidR="00B3086F" w:rsidRDefault="00B3086F" w:rsidP="00B3086F">
      <w:pPr>
        <w:spacing w:after="120"/>
        <w:jc w:val="both"/>
      </w:pPr>
      <w:r>
        <w:t xml:space="preserve">The main goal of the FG and PI </w:t>
      </w:r>
      <w:proofErr w:type="gramStart"/>
      <w:r>
        <w:t>discussions  is</w:t>
      </w:r>
      <w:proofErr w:type="gramEnd"/>
      <w:r>
        <w:t xml:space="preserve"> to deepen into (a) the experiences of professionals and (b) the cooperation between the involved actors in relation with the difficulties and the tested or/ and proposed solutions related to NAMs immunization. </w:t>
      </w:r>
    </w:p>
    <w:p w14:paraId="6AB41A36" w14:textId="77777777" w:rsidR="00B3086F" w:rsidRDefault="00B3086F" w:rsidP="00B3086F">
      <w:pPr>
        <w:spacing w:after="120"/>
        <w:jc w:val="both"/>
      </w:pPr>
      <w:r>
        <w:t xml:space="preserve">The topics will </w:t>
      </w:r>
      <w:r>
        <w:rPr>
          <w:b/>
        </w:rPr>
        <w:t>focus on</w:t>
      </w:r>
      <w:r>
        <w:t xml:space="preserve"> </w:t>
      </w:r>
      <w:r>
        <w:rPr>
          <w:b/>
        </w:rPr>
        <w:t>5 specific concepts/hubs</w:t>
      </w:r>
      <w:r>
        <w:t xml:space="preserve"> related to NAMs’ vaccination that have been presented in the “General Conceptual Framework on how to improve the vaccination coverage of NAMs” (WP2, Task 4.5, milestone 4.2):</w:t>
      </w:r>
    </w:p>
    <w:p w14:paraId="1A5E67A8" w14:textId="77777777" w:rsidR="00B3086F" w:rsidRDefault="00B3086F" w:rsidP="00B3086F">
      <w:pPr>
        <w:numPr>
          <w:ilvl w:val="0"/>
          <w:numId w:val="12"/>
        </w:numPr>
        <w:spacing w:after="120" w:line="240" w:lineRule="auto"/>
      </w:pPr>
      <w:r>
        <w:t>ENTITLEMENT to vaccination</w:t>
      </w:r>
    </w:p>
    <w:p w14:paraId="32BB49EF" w14:textId="77777777" w:rsidR="00B3086F" w:rsidRDefault="00B3086F" w:rsidP="00B3086F">
      <w:pPr>
        <w:numPr>
          <w:ilvl w:val="0"/>
          <w:numId w:val="12"/>
        </w:numPr>
        <w:spacing w:after="120" w:line="240" w:lineRule="auto"/>
      </w:pPr>
      <w:r>
        <w:t xml:space="preserve">REACHABILITY of people to be </w:t>
      </w:r>
      <w:proofErr w:type="gramStart"/>
      <w:r>
        <w:t>vaccinated</w:t>
      </w:r>
      <w:proofErr w:type="gramEnd"/>
    </w:p>
    <w:p w14:paraId="56102E9D" w14:textId="77777777" w:rsidR="00B3086F" w:rsidRDefault="00B3086F" w:rsidP="00B3086F">
      <w:pPr>
        <w:numPr>
          <w:ilvl w:val="0"/>
          <w:numId w:val="12"/>
        </w:numPr>
        <w:spacing w:after="120" w:line="240" w:lineRule="auto"/>
      </w:pPr>
      <w:r>
        <w:t>ADHERENCE (vs. Hesitancy) to vaccination</w:t>
      </w:r>
    </w:p>
    <w:p w14:paraId="45D9203D" w14:textId="77777777" w:rsidR="00B3086F" w:rsidRDefault="00B3086F" w:rsidP="00B3086F">
      <w:pPr>
        <w:numPr>
          <w:ilvl w:val="0"/>
          <w:numId w:val="12"/>
        </w:numPr>
        <w:spacing w:after="120" w:line="240" w:lineRule="auto"/>
      </w:pPr>
      <w:r>
        <w:t>ACHIEVEMENT of vaccination (execution and completion)</w:t>
      </w:r>
    </w:p>
    <w:p w14:paraId="35B6B0E2" w14:textId="77777777" w:rsidR="00B3086F" w:rsidRDefault="00B3086F" w:rsidP="00B3086F">
      <w:pPr>
        <w:numPr>
          <w:ilvl w:val="0"/>
          <w:numId w:val="12"/>
        </w:numPr>
        <w:spacing w:after="120" w:line="240" w:lineRule="auto"/>
      </w:pPr>
      <w:r>
        <w:t>EVALUATION of vaccination intervention</w:t>
      </w:r>
    </w:p>
    <w:p w14:paraId="3CAC9715" w14:textId="77777777" w:rsidR="00B3086F" w:rsidRDefault="00B3086F" w:rsidP="00B3086F">
      <w:pPr>
        <w:spacing w:after="120"/>
        <w:jc w:val="both"/>
      </w:pPr>
      <w:r>
        <w:t xml:space="preserve">By the end of the two (2) FGs and the three (3) PIs, the aim is to cover all concepts/hubs of the conceptual framework. It is expected that participants in each FG and in in the PIs may be more familiar with some of the concepts/hubs of the framework and not others, due to their profession or other experiences. The FGs and the PIs should focus on what the participants </w:t>
      </w:r>
      <w:proofErr w:type="gramStart"/>
      <w:r>
        <w:t>have to</w:t>
      </w:r>
      <w:proofErr w:type="gramEnd"/>
      <w:r>
        <w:t xml:space="preserve"> share.  For example, people working in the field possibly have more insight on the concepts of reachability, adherence and achievement compared to participants in the PIs (experts/professionals of higher status) who possibly have more to say about the concepts of entitlement and evaluation. This means that during discussions participants will be given the space to emphasise more on specific concepts, based on their experiences and profession. This is desirable and should be encouraged by the moderators.  Moderators during the FGs and PIs should promote the free flow of the discussion and should not press the participants with probing on each concept of the framework. </w:t>
      </w:r>
    </w:p>
    <w:p w14:paraId="442CD752" w14:textId="77777777" w:rsidR="00B3086F" w:rsidRDefault="00B3086F" w:rsidP="00B3086F">
      <w:pPr>
        <w:spacing w:after="120"/>
        <w:jc w:val="both"/>
      </w:pPr>
      <w:r>
        <w:t xml:space="preserve">The discussion should consider the ActoVax4NAM operational definition -differences in age and legal status of NAMs. Moreover, emphasis will be given on the consequences of COVID-19 for the vaccination of NAMs and on the opportunity, COVID-19 has provided in the field of NAMs’ immunization, if any. </w:t>
      </w:r>
    </w:p>
    <w:p w14:paraId="074D44B3" w14:textId="77777777" w:rsidR="00B3086F" w:rsidRDefault="00B3086F" w:rsidP="00B3086F">
      <w:pPr>
        <w:spacing w:after="120"/>
        <w:jc w:val="both"/>
      </w:pPr>
      <w:r>
        <w:rPr>
          <w:b/>
        </w:rPr>
        <w:t>One</w:t>
      </w:r>
      <w:r>
        <w:t xml:space="preserve"> </w:t>
      </w:r>
      <w:r>
        <w:rPr>
          <w:b/>
        </w:rPr>
        <w:t xml:space="preserve">(1) discussion guide </w:t>
      </w:r>
      <w:r>
        <w:t>has been designed (</w:t>
      </w:r>
      <w:r>
        <w:rPr>
          <w:b/>
        </w:rPr>
        <w:t>Annex 3</w:t>
      </w:r>
      <w:r>
        <w:t xml:space="preserve">) for FGs and PIs. This guide will be used by moderators to guide the discussions. </w:t>
      </w:r>
      <w:r>
        <w:rPr>
          <w:u w:val="single"/>
        </w:rPr>
        <w:t xml:space="preserve">The questions included </w:t>
      </w:r>
      <w:proofErr w:type="gramStart"/>
      <w:r>
        <w:rPr>
          <w:u w:val="single"/>
        </w:rPr>
        <w:t>In</w:t>
      </w:r>
      <w:proofErr w:type="gramEnd"/>
      <w:r>
        <w:rPr>
          <w:u w:val="single"/>
        </w:rPr>
        <w:t xml:space="preserve"> the discussion guides are </w:t>
      </w:r>
      <w:r>
        <w:rPr>
          <w:b/>
          <w:u w:val="single"/>
        </w:rPr>
        <w:t xml:space="preserve">indicative. </w:t>
      </w:r>
      <w:r>
        <w:rPr>
          <w:u w:val="single"/>
        </w:rPr>
        <w:t>Moderators are free to direct the discussions based on the group dynamics and the experiences of the participants asking the questions mostly appropriate.</w:t>
      </w:r>
      <w:r>
        <w:t xml:space="preserve"> </w:t>
      </w:r>
    </w:p>
    <w:p w14:paraId="3A514DAF" w14:textId="77777777" w:rsidR="00B3086F" w:rsidRDefault="00B3086F" w:rsidP="00B3086F">
      <w:pPr>
        <w:spacing w:after="120"/>
        <w:jc w:val="both"/>
      </w:pPr>
    </w:p>
    <w:p w14:paraId="5C1E176D" w14:textId="77777777" w:rsidR="00B3086F" w:rsidRDefault="00B3086F" w:rsidP="00B3086F">
      <w:pPr>
        <w:spacing w:after="120"/>
        <w:rPr>
          <w:b/>
          <w:color w:val="003399"/>
        </w:rPr>
      </w:pPr>
      <w:bookmarkStart w:id="13" w:name="_heading=h.sqyw64" w:colFirst="0" w:colLast="0"/>
      <w:bookmarkEnd w:id="13"/>
      <w:r>
        <w:rPr>
          <w:b/>
          <w:color w:val="003399"/>
        </w:rPr>
        <w:t>7. Data analysis</w:t>
      </w:r>
    </w:p>
    <w:p w14:paraId="09759D2C" w14:textId="77777777" w:rsidR="00B3086F" w:rsidRDefault="00B3086F" w:rsidP="00B3086F">
      <w:pPr>
        <w:spacing w:after="120"/>
        <w:jc w:val="both"/>
      </w:pPr>
      <w:r>
        <w:rPr>
          <w:u w:val="single"/>
        </w:rPr>
        <w:t>All focus groups and personal interviews need to be recorded and transcribed as analysis will be conducted based on these transcriptions.</w:t>
      </w:r>
      <w:r>
        <w:t xml:space="preserve"> Transcriptions should be in the language of each partner country. </w:t>
      </w:r>
      <w:r>
        <w:rPr>
          <w:u w:val="single"/>
        </w:rPr>
        <w:t>There is no need for transcriptions’ translation into English.</w:t>
      </w:r>
    </w:p>
    <w:p w14:paraId="001B5C08" w14:textId="77777777" w:rsidR="00B3086F" w:rsidRDefault="00B3086F" w:rsidP="00B3086F">
      <w:pPr>
        <w:spacing w:after="120"/>
        <w:jc w:val="both"/>
        <w:rPr>
          <w:u w:val="single"/>
        </w:rPr>
      </w:pPr>
      <w:proofErr w:type="gramStart"/>
      <w:r>
        <w:t>In order to</w:t>
      </w:r>
      <w:proofErr w:type="gramEnd"/>
      <w:r>
        <w:t xml:space="preserve"> ensure credibility and reliability of the research, the written format of the transcriptions should be an exact replica of the audio file as recorded. The recording of pauses, silences and repeated words is desirable (could also be noted by the note keeper) but depends on how each team in conducting their analysis. </w:t>
      </w:r>
      <w:r>
        <w:rPr>
          <w:u w:val="single"/>
        </w:rPr>
        <w:t>There is no need to send records and transcriptions to Prolepsis.</w:t>
      </w:r>
    </w:p>
    <w:p w14:paraId="34A6577A" w14:textId="77777777" w:rsidR="00B3086F" w:rsidRDefault="00B3086F" w:rsidP="00B3086F">
      <w:pPr>
        <w:spacing w:after="120"/>
        <w:jc w:val="both"/>
      </w:pPr>
      <w:r>
        <w:rPr>
          <w:b/>
        </w:rPr>
        <w:t xml:space="preserve">Annex 4 </w:t>
      </w:r>
      <w:r>
        <w:t>includes the results template -National Report- which needs to be filled in and sent to Prolepsis. The results template describes how reporting of focus groups and personal interviews should be conducted. Quotations justifying each finding need to be included.</w:t>
      </w:r>
    </w:p>
    <w:p w14:paraId="6C76C27A" w14:textId="77777777" w:rsidR="00B3086F" w:rsidRDefault="00B3086F" w:rsidP="00B3086F">
      <w:pPr>
        <w:spacing w:after="120"/>
        <w:rPr>
          <w:b/>
          <w:color w:val="003399"/>
        </w:rPr>
      </w:pPr>
      <w:bookmarkStart w:id="14" w:name="_heading=h.3cqmetx" w:colFirst="0" w:colLast="0"/>
      <w:bookmarkEnd w:id="14"/>
    </w:p>
    <w:p w14:paraId="230FC4C6" w14:textId="77777777" w:rsidR="00B3086F" w:rsidRDefault="00B3086F" w:rsidP="00B3086F">
      <w:pPr>
        <w:spacing w:after="120"/>
        <w:rPr>
          <w:b/>
          <w:color w:val="366091"/>
        </w:rPr>
      </w:pPr>
      <w:r>
        <w:rPr>
          <w:b/>
          <w:color w:val="003399"/>
        </w:rPr>
        <w:t>8. Deliverables</w:t>
      </w:r>
    </w:p>
    <w:p w14:paraId="2EFC9C8C" w14:textId="77777777" w:rsidR="00B3086F" w:rsidRDefault="00B3086F" w:rsidP="00B3086F">
      <w:pPr>
        <w:spacing w:after="120"/>
        <w:jc w:val="both"/>
      </w:pPr>
      <w:r>
        <w:t>Each partner conducting the focus groups and personal interviews needs to deliver to Prolepsis Institute a national report detailing the methodology of the focus groups/ personal interviews and the results based on the results template described above (</w:t>
      </w:r>
      <w:r>
        <w:rPr>
          <w:b/>
        </w:rPr>
        <w:t>Annex 4</w:t>
      </w:r>
      <w:r>
        <w:t>). Each partner country should also send to Prolepsis Institute the three excel files including the data from the descriptive questionnaires - one for each focus group and one for personal interviews.</w:t>
      </w:r>
    </w:p>
    <w:p w14:paraId="2C0E7EAD" w14:textId="77777777" w:rsidR="00B3086F" w:rsidRDefault="00B3086F" w:rsidP="00B3086F">
      <w:pPr>
        <w:spacing w:after="120"/>
        <w:jc w:val="both"/>
      </w:pPr>
      <w:r>
        <w:rPr>
          <w:b/>
        </w:rPr>
        <w:t>The deadline is the 14</w:t>
      </w:r>
      <w:r>
        <w:rPr>
          <w:b/>
          <w:vertAlign w:val="superscript"/>
        </w:rPr>
        <w:t>th</w:t>
      </w:r>
      <w:r>
        <w:rPr>
          <w:b/>
        </w:rPr>
        <w:t xml:space="preserve"> of </w:t>
      </w:r>
      <w:proofErr w:type="gramStart"/>
      <w:r>
        <w:rPr>
          <w:b/>
        </w:rPr>
        <w:t>January,</w:t>
      </w:r>
      <w:proofErr w:type="gramEnd"/>
      <w:r>
        <w:rPr>
          <w:b/>
        </w:rPr>
        <w:t xml:space="preserve"> 2022.</w:t>
      </w:r>
      <w:r>
        <w:t xml:space="preserve"> </w:t>
      </w:r>
    </w:p>
    <w:p w14:paraId="431E8831" w14:textId="77777777" w:rsidR="00B3086F" w:rsidRDefault="00B3086F" w:rsidP="00B3086F">
      <w:pPr>
        <w:spacing w:after="120"/>
        <w:jc w:val="both"/>
        <w:rPr>
          <w:color w:val="FB9B1C"/>
        </w:rPr>
      </w:pPr>
      <w:r>
        <w:rPr>
          <w:b/>
        </w:rPr>
        <w:t>Partners will send the country specific focus groups reports to the Prolepsis team, who will compile results and produce an overall analysis of findings and conclusions. The overall analysis will constitute the main part of the final report, which will also include each partner country’s content analysis. Therefore, please, be precise and specific in the data analysis reports.</w:t>
      </w:r>
    </w:p>
    <w:p w14:paraId="055B955F" w14:textId="77777777" w:rsidR="00B3086F" w:rsidRDefault="00B3086F" w:rsidP="00B3086F">
      <w:pPr>
        <w:spacing w:after="120"/>
        <w:rPr>
          <w:b/>
          <w:color w:val="003399"/>
        </w:rPr>
      </w:pPr>
      <w:bookmarkStart w:id="15" w:name="_heading=h.1rvwp1q" w:colFirst="0" w:colLast="0"/>
      <w:bookmarkEnd w:id="15"/>
    </w:p>
    <w:p w14:paraId="257E21A0" w14:textId="77777777" w:rsidR="00B3086F" w:rsidRDefault="00B3086F" w:rsidP="00B3086F">
      <w:pPr>
        <w:spacing w:after="120"/>
        <w:rPr>
          <w:b/>
          <w:color w:val="366091"/>
        </w:rPr>
      </w:pPr>
      <w:r>
        <w:rPr>
          <w:b/>
          <w:color w:val="003399"/>
        </w:rPr>
        <w:t>9. Useful information for focus group and interview moderators</w:t>
      </w:r>
    </w:p>
    <w:p w14:paraId="72DCAEDE" w14:textId="77777777" w:rsidR="00B3086F" w:rsidRDefault="00B3086F" w:rsidP="00B3086F">
      <w:pPr>
        <w:spacing w:after="120"/>
        <w:jc w:val="both"/>
      </w:pPr>
      <w:r>
        <w:t xml:space="preserve">Each focus group will have a </w:t>
      </w:r>
      <w:r>
        <w:rPr>
          <w:b/>
        </w:rPr>
        <w:t>moderator (facilitator)</w:t>
      </w:r>
      <w:r>
        <w:t xml:space="preserve">. The moderator will need to ensure maximum participation, ensure the discussion is targeted to the objectives set which should also be oriented to produce results. The role of the facilitator is crucial in conducting the focus groups effectively, especially in terms of providing clear explanations of the aim of the group discussion, helping people feel at ease, and facilitating interaction between group members. To this end, it is important that the facilitators have experience in moderating as well as good interpersonal skills </w:t>
      </w:r>
      <w:proofErr w:type="gramStart"/>
      <w:r>
        <w:t>in order to</w:t>
      </w:r>
      <w:proofErr w:type="gramEnd"/>
      <w:r>
        <w:t xml:space="preserve"> promote participants’ trust and increase the likelihood of an open and interactive dialogue. Α </w:t>
      </w:r>
      <w:r>
        <w:rPr>
          <w:b/>
        </w:rPr>
        <w:t xml:space="preserve">note taker (rapporteur) </w:t>
      </w:r>
      <w:r>
        <w:t>can also participate in each focus group. The main role of the rapporteur will be to keep track and take notes of the main issues discussed.</w:t>
      </w:r>
    </w:p>
    <w:p w14:paraId="172D8040" w14:textId="77777777" w:rsidR="00B3086F" w:rsidRDefault="00B3086F" w:rsidP="00B3086F">
      <w:pPr>
        <w:spacing w:after="120"/>
      </w:pPr>
    </w:p>
    <w:p w14:paraId="479DC5A1" w14:textId="77777777" w:rsidR="00B3086F" w:rsidRDefault="00B3086F" w:rsidP="00B3086F">
      <w:pPr>
        <w:spacing w:after="120"/>
      </w:pPr>
      <w:r>
        <w:t xml:space="preserve">Crucial issues: </w:t>
      </w:r>
    </w:p>
    <w:p w14:paraId="0AB39C0A" w14:textId="77777777" w:rsidR="00B3086F" w:rsidRDefault="00B3086F" w:rsidP="00B3086F">
      <w:pPr>
        <w:spacing w:after="120"/>
        <w:jc w:val="both"/>
        <w:rPr>
          <w:color w:val="FB9B1C"/>
        </w:rPr>
      </w:pPr>
      <w:r>
        <w:rPr>
          <w:color w:val="FB9B1C"/>
        </w:rPr>
        <w:t>CONFIDENTIALITY</w:t>
      </w:r>
    </w:p>
    <w:p w14:paraId="2775EA5A" w14:textId="77777777" w:rsidR="00B3086F" w:rsidRDefault="00B3086F" w:rsidP="00B3086F">
      <w:pPr>
        <w:spacing w:after="120"/>
        <w:jc w:val="both"/>
      </w:pPr>
      <w:r>
        <w:t xml:space="preserve">It is crucial that no one except the organizers and the participants is aware of the participants’ names. Furthermore, people other than Consortium members should </w:t>
      </w:r>
      <w:r>
        <w:rPr>
          <w:b/>
        </w:rPr>
        <w:t>not</w:t>
      </w:r>
      <w:r>
        <w:t xml:space="preserve"> have access to individual participants’ answers, neither accidentally nor intentionally. Do not refer to the names of respondents in the interview notes. Use also a unique code assigned to the respondent to protect confidentiality.</w:t>
      </w:r>
    </w:p>
    <w:p w14:paraId="71AC3371" w14:textId="77777777" w:rsidR="00B3086F" w:rsidRDefault="00B3086F" w:rsidP="00B3086F">
      <w:pPr>
        <w:spacing w:after="120"/>
        <w:jc w:val="both"/>
        <w:rPr>
          <w:color w:val="FB9B1C"/>
        </w:rPr>
      </w:pPr>
      <w:r>
        <w:rPr>
          <w:color w:val="FB9B1C"/>
        </w:rPr>
        <w:t>BUILDING RAPPORT</w:t>
      </w:r>
    </w:p>
    <w:p w14:paraId="763E7174" w14:textId="77777777" w:rsidR="00B3086F" w:rsidRDefault="00B3086F" w:rsidP="00B3086F">
      <w:pPr>
        <w:numPr>
          <w:ilvl w:val="0"/>
          <w:numId w:val="9"/>
        </w:numPr>
        <w:spacing w:after="120" w:line="240" w:lineRule="auto"/>
        <w:jc w:val="both"/>
        <w:rPr>
          <w:b/>
        </w:rPr>
      </w:pPr>
      <w:r>
        <w:rPr>
          <w:b/>
        </w:rPr>
        <w:t>Participants as experts</w:t>
      </w:r>
    </w:p>
    <w:p w14:paraId="549375A3" w14:textId="77777777" w:rsidR="00B3086F" w:rsidRDefault="00B3086F" w:rsidP="00B3086F">
      <w:pPr>
        <w:spacing w:after="120"/>
        <w:jc w:val="both"/>
      </w:pPr>
      <w:r>
        <w:t xml:space="preserve">Individuals are being invited to participate in focus groups because they are perceived to possess important knowledge regarding </w:t>
      </w:r>
      <w:proofErr w:type="gramStart"/>
      <w:r>
        <w:t>particular experiences</w:t>
      </w:r>
      <w:proofErr w:type="gramEnd"/>
      <w:r>
        <w:t>, needs, or perspectives, we hope to learn more about as a result of the needs assessment. Let participants know that you are there to learn from them and help them understand the importance of their contribution.</w:t>
      </w:r>
    </w:p>
    <w:p w14:paraId="3814C9DA" w14:textId="77777777" w:rsidR="00B3086F" w:rsidRDefault="00B3086F" w:rsidP="00B3086F">
      <w:pPr>
        <w:numPr>
          <w:ilvl w:val="0"/>
          <w:numId w:val="9"/>
        </w:numPr>
        <w:spacing w:after="120" w:line="240" w:lineRule="auto"/>
        <w:jc w:val="both"/>
        <w:rPr>
          <w:b/>
        </w:rPr>
      </w:pPr>
      <w:r>
        <w:rPr>
          <w:b/>
        </w:rPr>
        <w:t>Your role as moderator /facilitator</w:t>
      </w:r>
    </w:p>
    <w:p w14:paraId="10908FA8" w14:textId="77777777" w:rsidR="00B3086F" w:rsidRDefault="00B3086F" w:rsidP="00B3086F">
      <w:pPr>
        <w:spacing w:after="120"/>
        <w:jc w:val="both"/>
      </w:pPr>
      <w:r>
        <w:t xml:space="preserve">It is important to present yourself as a </w:t>
      </w:r>
      <w:r>
        <w:rPr>
          <w:b/>
        </w:rPr>
        <w:t xml:space="preserve">moderator /facilitator </w:t>
      </w:r>
      <w:r>
        <w:t>rather than a friend. You will need to let participants know that you are part of a team that is conducting a study for the needs’ assessment of a particular scientific group. This formality will indicate to the participants that their participation is important and will contribute to the needs’ assessment.</w:t>
      </w:r>
    </w:p>
    <w:p w14:paraId="14E3E33F" w14:textId="77777777" w:rsidR="00B3086F" w:rsidRDefault="00B3086F" w:rsidP="00B3086F">
      <w:pPr>
        <w:numPr>
          <w:ilvl w:val="0"/>
          <w:numId w:val="9"/>
        </w:numPr>
        <w:spacing w:after="120" w:line="240" w:lineRule="auto"/>
        <w:jc w:val="both"/>
        <w:rPr>
          <w:b/>
        </w:rPr>
      </w:pPr>
      <w:r>
        <w:rPr>
          <w:b/>
        </w:rPr>
        <w:t>Balancing rapport and professionalism</w:t>
      </w:r>
    </w:p>
    <w:p w14:paraId="059198BE" w14:textId="77777777" w:rsidR="00B3086F" w:rsidRDefault="00B3086F" w:rsidP="00B3086F">
      <w:pPr>
        <w:spacing w:after="120"/>
        <w:jc w:val="both"/>
      </w:pPr>
      <w:r>
        <w:t>Part of your role is to achieve a balance between building rapport with participants and conveying an appropriate level of professionalism. Your role during the focus groups is not that of a good conversationalist or a friend who provides feedback, but of a professional. If you are too casual, participants may not see you as someone who is prepared to take what they have to say seriously. However, if you are too formal, participants may feel intimidated by you and may not be as willing to reveal information. Strive to achieve a balance between being formal and casual during your focus groups.</w:t>
      </w:r>
    </w:p>
    <w:p w14:paraId="3D9D74FC" w14:textId="77777777" w:rsidR="00B3086F" w:rsidRDefault="00B3086F" w:rsidP="00B3086F">
      <w:pPr>
        <w:numPr>
          <w:ilvl w:val="0"/>
          <w:numId w:val="9"/>
        </w:numPr>
        <w:spacing w:after="120" w:line="240" w:lineRule="auto"/>
        <w:jc w:val="both"/>
        <w:rPr>
          <w:b/>
        </w:rPr>
      </w:pPr>
      <w:r>
        <w:rPr>
          <w:b/>
        </w:rPr>
        <w:t>Recognizing and appreciating participants for their time and contribution</w:t>
      </w:r>
    </w:p>
    <w:p w14:paraId="5C9DB7B8" w14:textId="77777777" w:rsidR="00B3086F" w:rsidRDefault="00B3086F" w:rsidP="00B3086F">
      <w:pPr>
        <w:spacing w:after="120"/>
        <w:jc w:val="both"/>
      </w:pPr>
      <w:r>
        <w:t>This is one of the most important things you can do to help create rapport. Remember to thank participants for their time and participation. Let them know that the information they have shared is valuable for the project.</w:t>
      </w:r>
    </w:p>
    <w:p w14:paraId="299DF552" w14:textId="77777777" w:rsidR="00B3086F" w:rsidRDefault="00B3086F" w:rsidP="00B3086F">
      <w:pPr>
        <w:spacing w:after="120"/>
        <w:jc w:val="both"/>
        <w:rPr>
          <w:color w:val="FB9B1C"/>
        </w:rPr>
      </w:pPr>
      <w:r>
        <w:rPr>
          <w:color w:val="FB9B1C"/>
        </w:rPr>
        <w:t>LISTENING SKILLS</w:t>
      </w:r>
    </w:p>
    <w:p w14:paraId="2BD91EB6" w14:textId="77777777" w:rsidR="00B3086F" w:rsidRDefault="00B3086F" w:rsidP="00B3086F">
      <w:pPr>
        <w:numPr>
          <w:ilvl w:val="0"/>
          <w:numId w:val="9"/>
        </w:numPr>
        <w:spacing w:after="120" w:line="240" w:lineRule="auto"/>
        <w:jc w:val="both"/>
        <w:rPr>
          <w:b/>
        </w:rPr>
      </w:pPr>
      <w:r>
        <w:rPr>
          <w:b/>
        </w:rPr>
        <w:t xml:space="preserve">Listen carefully to the </w:t>
      </w:r>
      <w:proofErr w:type="gramStart"/>
      <w:r>
        <w:rPr>
          <w:b/>
        </w:rPr>
        <w:t>participants</w:t>
      </w:r>
      <w:proofErr w:type="gramEnd"/>
    </w:p>
    <w:p w14:paraId="437BF061" w14:textId="77777777" w:rsidR="00B3086F" w:rsidRDefault="00B3086F" w:rsidP="00B3086F">
      <w:pPr>
        <w:spacing w:after="120"/>
        <w:jc w:val="both"/>
      </w:pPr>
      <w:r>
        <w:t>Active listening allows you to probe effectively and at appropriate points during the focus group. Active listening involves not only hearing what someone is saying, but also noticing body posture and facial gestures (i.e., any changes in nonverbal behaviour) that might provide clues as to the appropriate or necessary ways to engage participants.</w:t>
      </w:r>
    </w:p>
    <w:p w14:paraId="04C17EED" w14:textId="77777777" w:rsidR="00B3086F" w:rsidRDefault="00B3086F" w:rsidP="00B3086F">
      <w:pPr>
        <w:numPr>
          <w:ilvl w:val="0"/>
          <w:numId w:val="9"/>
        </w:numPr>
        <w:spacing w:after="120" w:line="240" w:lineRule="auto"/>
        <w:jc w:val="both"/>
        <w:rPr>
          <w:b/>
        </w:rPr>
      </w:pPr>
      <w:r>
        <w:rPr>
          <w:b/>
        </w:rPr>
        <w:t xml:space="preserve">Show participants you are </w:t>
      </w:r>
      <w:proofErr w:type="gramStart"/>
      <w:r>
        <w:rPr>
          <w:b/>
        </w:rPr>
        <w:t>listening</w:t>
      </w:r>
      <w:proofErr w:type="gramEnd"/>
    </w:p>
    <w:p w14:paraId="0E2EFABB" w14:textId="77777777" w:rsidR="00B3086F" w:rsidRDefault="00B3086F" w:rsidP="00B3086F">
      <w:pPr>
        <w:spacing w:after="120"/>
        <w:jc w:val="both"/>
      </w:pPr>
      <w:r>
        <w:t>Show participants that you are listening to what they are saying. Signs that you are paying attention may include leaning forward slightly, looking directly at participants while they are speaking, or nodding at appropriate times. Such behaviours not only indicate that you, as the facilitator, are more engaged, but also will help maintain participants’ engagement. Looking away, yawning, or frequently checking your watch will most likely make participants feel that you are not paying attention. If the participants suspect that you are not listening to them with interest, they may take their role of sharing expert knowledge less seriously and, therefore, may not elaborate or provide much detail with their answers.</w:t>
      </w:r>
    </w:p>
    <w:p w14:paraId="3B5586FD" w14:textId="77777777" w:rsidR="00B3086F" w:rsidRDefault="00B3086F" w:rsidP="00B3086F">
      <w:pPr>
        <w:numPr>
          <w:ilvl w:val="0"/>
          <w:numId w:val="9"/>
        </w:numPr>
        <w:spacing w:after="120" w:line="240" w:lineRule="auto"/>
        <w:jc w:val="both"/>
        <w:rPr>
          <w:b/>
        </w:rPr>
      </w:pPr>
      <w:r>
        <w:rPr>
          <w:b/>
        </w:rPr>
        <w:t>The importance of neutrality during the interview</w:t>
      </w:r>
    </w:p>
    <w:p w14:paraId="5B287472" w14:textId="77777777" w:rsidR="00B3086F" w:rsidRDefault="00B3086F" w:rsidP="00B3086F">
      <w:pPr>
        <w:spacing w:after="120"/>
        <w:jc w:val="both"/>
      </w:pPr>
      <w:r>
        <w:t>While showing participants that you are actively listening and interested in what they are sharing, you will also want to remain as neutral or impartial as possible, even if you have a strong opinion about something. Use phrases such as “Thank you. That is helpful.” Comments such as “I can’t believe it!” or “You really think that?!” are not appropriate remarks for a facilitator to make, because they infer your opinion and impose judgment on the participant, which will probably shut down the discussion.</w:t>
      </w:r>
    </w:p>
    <w:p w14:paraId="3A081FC4" w14:textId="77777777" w:rsidR="00B3086F" w:rsidRDefault="00B3086F" w:rsidP="00B3086F">
      <w:pPr>
        <w:spacing w:after="120"/>
        <w:jc w:val="both"/>
        <w:rPr>
          <w:color w:val="FB9B1C"/>
        </w:rPr>
      </w:pPr>
      <w:r>
        <w:rPr>
          <w:color w:val="FB9B1C"/>
        </w:rPr>
        <w:t>QUALITIES OF AN EFFECTIVE FOCUS GROUP MODERATOR/FACILITATOR</w:t>
      </w:r>
    </w:p>
    <w:p w14:paraId="64B780B0" w14:textId="77777777" w:rsidR="00B3086F" w:rsidRDefault="00B3086F" w:rsidP="00B3086F">
      <w:pPr>
        <w:spacing w:after="120"/>
        <w:jc w:val="both"/>
        <w:rPr>
          <w:b/>
          <w:color w:val="000000"/>
        </w:rPr>
      </w:pPr>
      <w:r>
        <w:rPr>
          <w:b/>
          <w:color w:val="000000"/>
        </w:rPr>
        <w:t>Roles and Responsibilities of moderators/</w:t>
      </w:r>
      <w:r>
        <w:rPr>
          <w:b/>
        </w:rPr>
        <w:t>facilitators</w:t>
      </w:r>
      <w:r>
        <w:rPr>
          <w:b/>
          <w:color w:val="000000"/>
        </w:rPr>
        <w:t>:</w:t>
      </w:r>
    </w:p>
    <w:p w14:paraId="6ED0BBA6" w14:textId="77777777" w:rsidR="00B3086F" w:rsidRDefault="00B3086F" w:rsidP="00B3086F">
      <w:pPr>
        <w:numPr>
          <w:ilvl w:val="0"/>
          <w:numId w:val="15"/>
        </w:numPr>
        <w:spacing w:after="120" w:line="240" w:lineRule="auto"/>
        <w:jc w:val="both"/>
        <w:rPr>
          <w:color w:val="000000"/>
        </w:rPr>
      </w:pPr>
      <w:r>
        <w:rPr>
          <w:color w:val="000000"/>
        </w:rPr>
        <w:t xml:space="preserve">Keep participants focused, engaged, attentive and </w:t>
      </w:r>
      <w:proofErr w:type="gramStart"/>
      <w:r>
        <w:rPr>
          <w:color w:val="000000"/>
        </w:rPr>
        <w:t>interested</w:t>
      </w:r>
      <w:proofErr w:type="gramEnd"/>
    </w:p>
    <w:p w14:paraId="58BBB5BB" w14:textId="77777777" w:rsidR="00B3086F" w:rsidRDefault="00B3086F" w:rsidP="00B3086F">
      <w:pPr>
        <w:numPr>
          <w:ilvl w:val="0"/>
          <w:numId w:val="9"/>
        </w:numPr>
        <w:spacing w:after="120" w:line="240" w:lineRule="auto"/>
        <w:jc w:val="both"/>
        <w:rPr>
          <w:color w:val="000000"/>
        </w:rPr>
      </w:pPr>
      <w:r>
        <w:rPr>
          <w:color w:val="000000"/>
        </w:rPr>
        <w:t xml:space="preserve">Monitor time and use limited time </w:t>
      </w:r>
      <w:proofErr w:type="gramStart"/>
      <w:r>
        <w:rPr>
          <w:color w:val="000000"/>
        </w:rPr>
        <w:t>effectively</w:t>
      </w:r>
      <w:proofErr w:type="gramEnd"/>
    </w:p>
    <w:p w14:paraId="3437AC76" w14:textId="77777777" w:rsidR="00B3086F" w:rsidRDefault="00B3086F" w:rsidP="00B3086F">
      <w:pPr>
        <w:numPr>
          <w:ilvl w:val="0"/>
          <w:numId w:val="9"/>
        </w:numPr>
        <w:spacing w:after="120" w:line="240" w:lineRule="auto"/>
        <w:jc w:val="both"/>
        <w:rPr>
          <w:color w:val="000000"/>
        </w:rPr>
      </w:pPr>
      <w:r>
        <w:rPr>
          <w:color w:val="000000"/>
        </w:rPr>
        <w:t xml:space="preserve">Use prompts and probes to stimulate </w:t>
      </w:r>
      <w:proofErr w:type="gramStart"/>
      <w:r>
        <w:rPr>
          <w:color w:val="000000"/>
        </w:rPr>
        <w:t>discussion</w:t>
      </w:r>
      <w:proofErr w:type="gramEnd"/>
    </w:p>
    <w:p w14:paraId="56E0096D" w14:textId="77777777" w:rsidR="00B3086F" w:rsidRDefault="00B3086F" w:rsidP="00B3086F">
      <w:pPr>
        <w:numPr>
          <w:ilvl w:val="0"/>
          <w:numId w:val="9"/>
        </w:numPr>
        <w:spacing w:after="120" w:line="240" w:lineRule="auto"/>
        <w:jc w:val="both"/>
        <w:rPr>
          <w:color w:val="000000"/>
        </w:rPr>
      </w:pPr>
      <w:r>
        <w:rPr>
          <w:color w:val="000000"/>
        </w:rPr>
        <w:t xml:space="preserve">Use the focus group guide effectively to ensure all topics are </w:t>
      </w:r>
      <w:proofErr w:type="gramStart"/>
      <w:r>
        <w:rPr>
          <w:color w:val="000000"/>
        </w:rPr>
        <w:t>covered</w:t>
      </w:r>
      <w:proofErr w:type="gramEnd"/>
    </w:p>
    <w:p w14:paraId="6BD67D47" w14:textId="77777777" w:rsidR="00B3086F" w:rsidRDefault="00B3086F" w:rsidP="00B3086F">
      <w:pPr>
        <w:numPr>
          <w:ilvl w:val="0"/>
          <w:numId w:val="9"/>
        </w:numPr>
        <w:spacing w:after="120" w:line="240" w:lineRule="auto"/>
        <w:jc w:val="both"/>
        <w:rPr>
          <w:color w:val="000000"/>
        </w:rPr>
      </w:pPr>
      <w:r>
        <w:rPr>
          <w:color w:val="000000"/>
        </w:rPr>
        <w:t>Politely and diplomatically enforce ground rules:</w:t>
      </w:r>
    </w:p>
    <w:p w14:paraId="1E90EF1A" w14:textId="77777777" w:rsidR="00B3086F" w:rsidRDefault="00B3086F" w:rsidP="00B3086F">
      <w:pPr>
        <w:numPr>
          <w:ilvl w:val="1"/>
          <w:numId w:val="9"/>
        </w:numPr>
        <w:spacing w:after="120" w:line="240" w:lineRule="auto"/>
        <w:jc w:val="both"/>
        <w:rPr>
          <w:color w:val="000000"/>
        </w:rPr>
      </w:pPr>
      <w:r>
        <w:rPr>
          <w:color w:val="000000"/>
        </w:rPr>
        <w:t xml:space="preserve">Make sure everyone participates and at a level that is </w:t>
      </w:r>
      <w:proofErr w:type="gramStart"/>
      <w:r>
        <w:rPr>
          <w:color w:val="000000"/>
        </w:rPr>
        <w:t>comfortable</w:t>
      </w:r>
      <w:proofErr w:type="gramEnd"/>
    </w:p>
    <w:p w14:paraId="393177E9" w14:textId="77777777" w:rsidR="00B3086F" w:rsidRDefault="00B3086F" w:rsidP="00B3086F">
      <w:pPr>
        <w:numPr>
          <w:ilvl w:val="1"/>
          <w:numId w:val="9"/>
        </w:numPr>
        <w:spacing w:after="120" w:line="240" w:lineRule="auto"/>
        <w:jc w:val="both"/>
        <w:rPr>
          <w:color w:val="000000"/>
        </w:rPr>
      </w:pPr>
      <w:r>
        <w:rPr>
          <w:color w:val="000000"/>
        </w:rPr>
        <w:t>Limit side conversations</w:t>
      </w:r>
    </w:p>
    <w:p w14:paraId="39D1F9B7" w14:textId="77777777" w:rsidR="00B3086F" w:rsidRDefault="00B3086F" w:rsidP="00B3086F">
      <w:pPr>
        <w:numPr>
          <w:ilvl w:val="1"/>
          <w:numId w:val="9"/>
        </w:numPr>
        <w:spacing w:after="120" w:line="240" w:lineRule="auto"/>
        <w:jc w:val="both"/>
        <w:rPr>
          <w:color w:val="000000"/>
        </w:rPr>
      </w:pPr>
      <w:r>
        <w:rPr>
          <w:color w:val="000000"/>
        </w:rPr>
        <w:t xml:space="preserve">Encourage one person to speak at a </w:t>
      </w:r>
      <w:proofErr w:type="gramStart"/>
      <w:r>
        <w:rPr>
          <w:color w:val="000000"/>
        </w:rPr>
        <w:t>time</w:t>
      </w:r>
      <w:proofErr w:type="gramEnd"/>
    </w:p>
    <w:p w14:paraId="4765B3AD" w14:textId="77777777" w:rsidR="00B3086F" w:rsidRDefault="00B3086F" w:rsidP="00B3086F">
      <w:pPr>
        <w:numPr>
          <w:ilvl w:val="0"/>
          <w:numId w:val="9"/>
        </w:numPr>
        <w:spacing w:after="120" w:line="240" w:lineRule="auto"/>
        <w:jc w:val="both"/>
        <w:rPr>
          <w:color w:val="000000"/>
        </w:rPr>
      </w:pPr>
      <w:r>
        <w:rPr>
          <w:color w:val="000000"/>
        </w:rPr>
        <w:t xml:space="preserve">Be prepared to explain or restate </w:t>
      </w:r>
      <w:proofErr w:type="gramStart"/>
      <w:r>
        <w:rPr>
          <w:color w:val="000000"/>
        </w:rPr>
        <w:t>questions</w:t>
      </w:r>
      <w:proofErr w:type="gramEnd"/>
    </w:p>
    <w:p w14:paraId="23AAD7A7" w14:textId="77777777" w:rsidR="00B3086F" w:rsidRDefault="00B3086F" w:rsidP="00B3086F">
      <w:pPr>
        <w:numPr>
          <w:ilvl w:val="0"/>
          <w:numId w:val="9"/>
        </w:numPr>
        <w:spacing w:after="120" w:line="240" w:lineRule="auto"/>
        <w:jc w:val="both"/>
        <w:rPr>
          <w:color w:val="000000"/>
        </w:rPr>
      </w:pPr>
      <w:r>
        <w:rPr>
          <w:color w:val="000000"/>
        </w:rPr>
        <w:t xml:space="preserve">Diffuse and pre-empt </w:t>
      </w:r>
      <w:proofErr w:type="gramStart"/>
      <w:r>
        <w:rPr>
          <w:color w:val="000000"/>
        </w:rPr>
        <w:t>arguments</w:t>
      </w:r>
      <w:proofErr w:type="gramEnd"/>
    </w:p>
    <w:p w14:paraId="6C1FF968" w14:textId="77777777" w:rsidR="00B3086F" w:rsidRDefault="00B3086F" w:rsidP="00B3086F">
      <w:pPr>
        <w:numPr>
          <w:ilvl w:val="0"/>
          <w:numId w:val="9"/>
        </w:numPr>
        <w:spacing w:after="120" w:line="240" w:lineRule="auto"/>
        <w:jc w:val="both"/>
        <w:rPr>
          <w:color w:val="000000"/>
        </w:rPr>
      </w:pPr>
      <w:r>
        <w:rPr>
          <w:color w:val="000000"/>
        </w:rPr>
        <w:t xml:space="preserve">After the focus group, work with the note taker to discuss the uprising themes. To facilitate the debriefing discussion, review the notes of the discussion, discussing areas that seemed particularly important or salient given your knowledge of the research questions. </w:t>
      </w:r>
      <w:r>
        <w:t xml:space="preserve">[Need to </w:t>
      </w:r>
      <w:r>
        <w:rPr>
          <w:color w:val="000000"/>
        </w:rPr>
        <w:t>determine who will take responsibility for these notes, as well as the consent forms, and tapes of the focus group discussion.]</w:t>
      </w:r>
    </w:p>
    <w:p w14:paraId="21AFFF86" w14:textId="77777777" w:rsidR="00B3086F" w:rsidRDefault="00B3086F" w:rsidP="00B3086F">
      <w:pPr>
        <w:spacing w:after="120"/>
        <w:jc w:val="both"/>
        <w:rPr>
          <w:b/>
          <w:color w:val="000000"/>
        </w:rPr>
      </w:pPr>
      <w:r>
        <w:rPr>
          <w:b/>
          <w:color w:val="000000"/>
        </w:rPr>
        <w:t>Effective moderators:</w:t>
      </w:r>
    </w:p>
    <w:p w14:paraId="77EA6B27" w14:textId="77777777" w:rsidR="00B3086F" w:rsidRDefault="00B3086F" w:rsidP="00B3086F">
      <w:pPr>
        <w:numPr>
          <w:ilvl w:val="0"/>
          <w:numId w:val="11"/>
        </w:numPr>
        <w:spacing w:after="120" w:line="240" w:lineRule="auto"/>
        <w:jc w:val="both"/>
        <w:rPr>
          <w:color w:val="000000"/>
        </w:rPr>
      </w:pPr>
      <w:r>
        <w:rPr>
          <w:color w:val="000000"/>
        </w:rPr>
        <w:t xml:space="preserve">Have good listening </w:t>
      </w:r>
      <w:proofErr w:type="gramStart"/>
      <w:r>
        <w:rPr>
          <w:color w:val="000000"/>
        </w:rPr>
        <w:t>skills</w:t>
      </w:r>
      <w:proofErr w:type="gramEnd"/>
    </w:p>
    <w:p w14:paraId="771DAF33" w14:textId="77777777" w:rsidR="00B3086F" w:rsidRDefault="00B3086F" w:rsidP="00B3086F">
      <w:pPr>
        <w:numPr>
          <w:ilvl w:val="0"/>
          <w:numId w:val="11"/>
        </w:numPr>
        <w:spacing w:after="120" w:line="240" w:lineRule="auto"/>
        <w:jc w:val="both"/>
        <w:rPr>
          <w:color w:val="000000"/>
        </w:rPr>
      </w:pPr>
      <w:r>
        <w:rPr>
          <w:color w:val="000000"/>
        </w:rPr>
        <w:t xml:space="preserve">Have good observation </w:t>
      </w:r>
      <w:proofErr w:type="gramStart"/>
      <w:r>
        <w:rPr>
          <w:color w:val="000000"/>
        </w:rPr>
        <w:t>skills</w:t>
      </w:r>
      <w:proofErr w:type="gramEnd"/>
    </w:p>
    <w:p w14:paraId="48D7376E" w14:textId="77777777" w:rsidR="00B3086F" w:rsidRDefault="00B3086F" w:rsidP="00B3086F">
      <w:pPr>
        <w:numPr>
          <w:ilvl w:val="0"/>
          <w:numId w:val="11"/>
        </w:numPr>
        <w:spacing w:after="120" w:line="240" w:lineRule="auto"/>
        <w:jc w:val="both"/>
        <w:rPr>
          <w:color w:val="000000"/>
        </w:rPr>
      </w:pPr>
      <w:r>
        <w:rPr>
          <w:color w:val="000000"/>
        </w:rPr>
        <w:t xml:space="preserve">Have good speaking </w:t>
      </w:r>
      <w:proofErr w:type="gramStart"/>
      <w:r>
        <w:rPr>
          <w:color w:val="000000"/>
        </w:rPr>
        <w:t>skills</w:t>
      </w:r>
      <w:proofErr w:type="gramEnd"/>
    </w:p>
    <w:p w14:paraId="03765334" w14:textId="77777777" w:rsidR="00B3086F" w:rsidRDefault="00B3086F" w:rsidP="00B3086F">
      <w:pPr>
        <w:numPr>
          <w:ilvl w:val="0"/>
          <w:numId w:val="11"/>
        </w:numPr>
        <w:spacing w:after="120" w:line="240" w:lineRule="auto"/>
        <w:jc w:val="both"/>
        <w:rPr>
          <w:color w:val="000000"/>
        </w:rPr>
      </w:pPr>
      <w:r>
        <w:rPr>
          <w:color w:val="000000"/>
        </w:rPr>
        <w:t xml:space="preserve">Can foster an open and honest dialogue among diverse groups and </w:t>
      </w:r>
      <w:proofErr w:type="gramStart"/>
      <w:r>
        <w:rPr>
          <w:color w:val="000000"/>
        </w:rPr>
        <w:t>individuals</w:t>
      </w:r>
      <w:proofErr w:type="gramEnd"/>
    </w:p>
    <w:p w14:paraId="6D629601" w14:textId="77777777" w:rsidR="00B3086F" w:rsidRDefault="00B3086F" w:rsidP="00B3086F">
      <w:pPr>
        <w:numPr>
          <w:ilvl w:val="0"/>
          <w:numId w:val="11"/>
        </w:numPr>
        <w:spacing w:after="120" w:line="240" w:lineRule="auto"/>
        <w:jc w:val="both"/>
        <w:rPr>
          <w:color w:val="000000"/>
        </w:rPr>
      </w:pPr>
      <w:r>
        <w:rPr>
          <w:color w:val="000000"/>
        </w:rPr>
        <w:t>Can remain impartial (i.e., do not give their opinion about topics, because this can influence other people’s perspectives)</w:t>
      </w:r>
    </w:p>
    <w:p w14:paraId="7A219354" w14:textId="77777777" w:rsidR="00B3086F" w:rsidRDefault="00B3086F" w:rsidP="00B3086F">
      <w:pPr>
        <w:numPr>
          <w:ilvl w:val="0"/>
          <w:numId w:val="11"/>
        </w:numPr>
        <w:spacing w:after="120" w:line="240" w:lineRule="auto"/>
        <w:jc w:val="both"/>
        <w:rPr>
          <w:color w:val="000000"/>
        </w:rPr>
      </w:pPr>
      <w:r>
        <w:rPr>
          <w:color w:val="000000"/>
        </w:rPr>
        <w:t xml:space="preserve">Can encourage participation when someone is reluctant to speak </w:t>
      </w:r>
      <w:proofErr w:type="gramStart"/>
      <w:r>
        <w:rPr>
          <w:color w:val="000000"/>
        </w:rPr>
        <w:t>up</w:t>
      </w:r>
      <w:proofErr w:type="gramEnd"/>
    </w:p>
    <w:p w14:paraId="751DFE2A" w14:textId="77777777" w:rsidR="00B3086F" w:rsidRDefault="00B3086F" w:rsidP="00B3086F">
      <w:pPr>
        <w:numPr>
          <w:ilvl w:val="0"/>
          <w:numId w:val="11"/>
        </w:numPr>
        <w:spacing w:after="120" w:line="240" w:lineRule="auto"/>
        <w:jc w:val="both"/>
        <w:rPr>
          <w:color w:val="000000"/>
        </w:rPr>
      </w:pPr>
      <w:r>
        <w:rPr>
          <w:color w:val="000000"/>
        </w:rPr>
        <w:t xml:space="preserve">Can manage participants who dominate the </w:t>
      </w:r>
      <w:proofErr w:type="gramStart"/>
      <w:r>
        <w:rPr>
          <w:color w:val="000000"/>
        </w:rPr>
        <w:t>conversation</w:t>
      </w:r>
      <w:proofErr w:type="gramEnd"/>
    </w:p>
    <w:p w14:paraId="1AAC8CD1" w14:textId="77777777" w:rsidR="00B3086F" w:rsidRDefault="00B3086F" w:rsidP="00B3086F">
      <w:pPr>
        <w:numPr>
          <w:ilvl w:val="0"/>
          <w:numId w:val="11"/>
        </w:numPr>
        <w:spacing w:after="120" w:line="240" w:lineRule="auto"/>
        <w:jc w:val="both"/>
        <w:rPr>
          <w:color w:val="000000"/>
        </w:rPr>
      </w:pPr>
      <w:r>
        <w:rPr>
          <w:color w:val="000000"/>
        </w:rPr>
        <w:t xml:space="preserve">Are sensitive to gender and cultural </w:t>
      </w:r>
      <w:proofErr w:type="gramStart"/>
      <w:r>
        <w:rPr>
          <w:color w:val="000000"/>
        </w:rPr>
        <w:t>issues</w:t>
      </w:r>
      <w:proofErr w:type="gramEnd"/>
    </w:p>
    <w:p w14:paraId="68A2F5A1" w14:textId="77777777" w:rsidR="00B3086F" w:rsidRDefault="00B3086F" w:rsidP="00B3086F">
      <w:pPr>
        <w:numPr>
          <w:ilvl w:val="0"/>
          <w:numId w:val="11"/>
        </w:numPr>
        <w:spacing w:after="120" w:line="240" w:lineRule="auto"/>
        <w:jc w:val="both"/>
        <w:rPr>
          <w:color w:val="000000"/>
        </w:rPr>
      </w:pPr>
      <w:r>
        <w:rPr>
          <w:color w:val="000000"/>
        </w:rPr>
        <w:t xml:space="preserve">Are sensitive about the differences in power among and within </w:t>
      </w:r>
      <w:proofErr w:type="gramStart"/>
      <w:r>
        <w:rPr>
          <w:color w:val="000000"/>
        </w:rPr>
        <w:t>groups</w:t>
      </w:r>
      <w:proofErr w:type="gramEnd"/>
    </w:p>
    <w:p w14:paraId="4EB61B2C" w14:textId="77777777" w:rsidR="00B3086F" w:rsidRDefault="00B3086F" w:rsidP="00B3086F">
      <w:pPr>
        <w:spacing w:after="120"/>
        <w:rPr>
          <w:b/>
        </w:rPr>
      </w:pPr>
      <w:r>
        <w:rPr>
          <w:b/>
        </w:rPr>
        <w:t>Roles and Responsibilities of Note Takers:</w:t>
      </w:r>
    </w:p>
    <w:p w14:paraId="3B3D4039" w14:textId="77777777" w:rsidR="00B3086F" w:rsidRDefault="00B3086F" w:rsidP="00B3086F">
      <w:pPr>
        <w:numPr>
          <w:ilvl w:val="0"/>
          <w:numId w:val="15"/>
        </w:numPr>
        <w:spacing w:after="120" w:line="240" w:lineRule="auto"/>
        <w:ind w:left="426" w:hanging="426"/>
      </w:pPr>
      <w:r>
        <w:t>Bring the following materials for the focus group:</w:t>
      </w:r>
    </w:p>
    <w:p w14:paraId="37D5B15C" w14:textId="77777777" w:rsidR="00B3086F" w:rsidRDefault="00B3086F" w:rsidP="00B3086F">
      <w:pPr>
        <w:numPr>
          <w:ilvl w:val="0"/>
          <w:numId w:val="22"/>
        </w:numPr>
        <w:spacing w:after="120" w:line="240" w:lineRule="auto"/>
        <w:jc w:val="both"/>
      </w:pPr>
      <w:r>
        <w:t xml:space="preserve">Materials to record the focus group, including writing utensils (more than one, in case a pencil breaks or a pen runs out of ink) and a lot of </w:t>
      </w:r>
      <w:proofErr w:type="gramStart"/>
      <w:r>
        <w:t>paper</w:t>
      </w:r>
      <w:proofErr w:type="gramEnd"/>
    </w:p>
    <w:p w14:paraId="1C01EA6B" w14:textId="77777777" w:rsidR="00B3086F" w:rsidRDefault="00B3086F" w:rsidP="00B3086F">
      <w:pPr>
        <w:numPr>
          <w:ilvl w:val="0"/>
          <w:numId w:val="22"/>
        </w:numPr>
        <w:spacing w:after="120" w:line="240" w:lineRule="auto"/>
        <w:jc w:val="both"/>
      </w:pPr>
      <w:r>
        <w:t xml:space="preserve">Bring a flip chart as well as markers of different </w:t>
      </w:r>
      <w:proofErr w:type="spellStart"/>
      <w:r>
        <w:t>colors</w:t>
      </w:r>
      <w:proofErr w:type="spellEnd"/>
      <w:r>
        <w:t xml:space="preserve"> for recording information (as needed) on a flip chart or dry erase board. NOTE: if a dry erase board is used instead of a flip chart, be sure that dry erase markers are available or that you bring this type of marker.</w:t>
      </w:r>
    </w:p>
    <w:p w14:paraId="108AD61A" w14:textId="77777777" w:rsidR="00B3086F" w:rsidRDefault="00B3086F" w:rsidP="00B3086F">
      <w:pPr>
        <w:numPr>
          <w:ilvl w:val="0"/>
          <w:numId w:val="22"/>
        </w:numPr>
        <w:spacing w:after="120" w:line="240" w:lineRule="auto"/>
        <w:jc w:val="both"/>
      </w:pPr>
      <w:r>
        <w:t>Tape for affixing flip chart pages on the wall, as needed.</w:t>
      </w:r>
    </w:p>
    <w:p w14:paraId="39446502" w14:textId="77777777" w:rsidR="00B3086F" w:rsidRDefault="00B3086F" w:rsidP="00B3086F">
      <w:pPr>
        <w:numPr>
          <w:ilvl w:val="0"/>
          <w:numId w:val="22"/>
        </w:numPr>
        <w:spacing w:after="120" w:line="240" w:lineRule="auto"/>
        <w:jc w:val="both"/>
      </w:pPr>
      <w:r>
        <w:t xml:space="preserve">Recording equipment: a tape recorder, extension cord, extra </w:t>
      </w:r>
      <w:proofErr w:type="gramStart"/>
      <w:r>
        <w:t>tapes</w:t>
      </w:r>
      <w:proofErr w:type="gramEnd"/>
      <w:r>
        <w:t xml:space="preserve"> and extra batteries</w:t>
      </w:r>
    </w:p>
    <w:p w14:paraId="0FE3D519" w14:textId="77777777" w:rsidR="00B3086F" w:rsidRDefault="00B3086F" w:rsidP="00B3086F">
      <w:pPr>
        <w:numPr>
          <w:ilvl w:val="0"/>
          <w:numId w:val="21"/>
        </w:numPr>
        <w:spacing w:after="120" w:line="240" w:lineRule="auto"/>
        <w:ind w:left="360"/>
        <w:jc w:val="both"/>
      </w:pPr>
      <w:r>
        <w:t>Ensure that ground rules for the focus group are written clearly and neatly on a flip chart (it may be helpful to do this beforehand)</w:t>
      </w:r>
    </w:p>
    <w:p w14:paraId="3272CB9E" w14:textId="77777777" w:rsidR="00B3086F" w:rsidRDefault="00B3086F" w:rsidP="00B3086F">
      <w:pPr>
        <w:numPr>
          <w:ilvl w:val="0"/>
          <w:numId w:val="21"/>
        </w:numPr>
        <w:spacing w:after="120" w:line="240" w:lineRule="auto"/>
        <w:ind w:left="360"/>
        <w:jc w:val="both"/>
      </w:pPr>
      <w:r>
        <w:t>Assist the facilitator in arranging the room (e.g., seating, flip chart stand and paper, placement of the ground rules, etc.)</w:t>
      </w:r>
    </w:p>
    <w:p w14:paraId="78FA3454" w14:textId="77777777" w:rsidR="00B3086F" w:rsidRDefault="00B3086F" w:rsidP="00B3086F">
      <w:pPr>
        <w:numPr>
          <w:ilvl w:val="0"/>
          <w:numId w:val="21"/>
        </w:numPr>
        <w:spacing w:after="120" w:line="240" w:lineRule="auto"/>
        <w:ind w:left="360"/>
        <w:jc w:val="both"/>
      </w:pPr>
      <w:r>
        <w:t xml:space="preserve">Record major themes, ideas, comments and observations regarding group dynamics in hand-written </w:t>
      </w:r>
      <w:proofErr w:type="gramStart"/>
      <w:r>
        <w:t>notes</w:t>
      </w:r>
      <w:proofErr w:type="gramEnd"/>
      <w:r>
        <w:t xml:space="preserve"> </w:t>
      </w:r>
    </w:p>
    <w:p w14:paraId="31B662BE" w14:textId="77777777" w:rsidR="00B3086F" w:rsidRDefault="00B3086F" w:rsidP="00B3086F">
      <w:pPr>
        <w:numPr>
          <w:ilvl w:val="0"/>
          <w:numId w:val="21"/>
        </w:numPr>
        <w:spacing w:after="120" w:line="240" w:lineRule="auto"/>
        <w:ind w:left="360"/>
        <w:jc w:val="both"/>
      </w:pPr>
      <w:r>
        <w:t xml:space="preserve">Conduct a debriefing discussion with the focus group facilitator immediately after each focus group. To facilitate the debriefing discussion, review your notes with the focus group facilitator. Capture any new insights that emerged </w:t>
      </w:r>
      <w:proofErr w:type="gramStart"/>
      <w:r>
        <w:t>as a result of</w:t>
      </w:r>
      <w:proofErr w:type="gramEnd"/>
      <w:r>
        <w:t xml:space="preserve"> this discussion with the facilitator.</w:t>
      </w:r>
    </w:p>
    <w:p w14:paraId="3CF6DFFA" w14:textId="77777777" w:rsidR="00B3086F" w:rsidRDefault="00B3086F" w:rsidP="00B3086F">
      <w:pPr>
        <w:numPr>
          <w:ilvl w:val="0"/>
          <w:numId w:val="21"/>
        </w:numPr>
        <w:spacing w:after="120" w:line="240" w:lineRule="auto"/>
        <w:ind w:left="360"/>
        <w:jc w:val="both"/>
      </w:pPr>
      <w:r>
        <w:t>Do not throw away any papers with notes of the focus group discussion. These will be stored with other data collected through the needs’ assessment.</w:t>
      </w:r>
    </w:p>
    <w:p w14:paraId="65FB4233" w14:textId="77777777" w:rsidR="00B3086F" w:rsidRDefault="00B3086F" w:rsidP="00B3086F">
      <w:pPr>
        <w:numPr>
          <w:ilvl w:val="0"/>
          <w:numId w:val="21"/>
        </w:numPr>
        <w:spacing w:after="120" w:line="240" w:lineRule="auto"/>
        <w:ind w:left="360"/>
        <w:jc w:val="both"/>
      </w:pPr>
      <w:r>
        <w:t xml:space="preserve">[Need to determine who will take responsibility for these notes, as well as the consent forms, Debriefing Discussion </w:t>
      </w:r>
      <w:proofErr w:type="gramStart"/>
      <w:r>
        <w:t>Tool</w:t>
      </w:r>
      <w:proofErr w:type="gramEnd"/>
      <w:r>
        <w:t xml:space="preserve"> and tapes of the focus group discussion.]</w:t>
      </w:r>
    </w:p>
    <w:p w14:paraId="73278A32" w14:textId="77777777" w:rsidR="00B3086F" w:rsidRDefault="00B3086F" w:rsidP="00B3086F">
      <w:pPr>
        <w:spacing w:after="120"/>
        <w:rPr>
          <w:b/>
        </w:rPr>
      </w:pPr>
      <w:r>
        <w:rPr>
          <w:b/>
        </w:rPr>
        <w:t>Effective Note Takers:</w:t>
      </w:r>
    </w:p>
    <w:p w14:paraId="4EEDA10A" w14:textId="77777777" w:rsidR="00B3086F" w:rsidRDefault="00B3086F" w:rsidP="00B3086F">
      <w:pPr>
        <w:numPr>
          <w:ilvl w:val="0"/>
          <w:numId w:val="11"/>
        </w:numPr>
        <w:spacing w:after="120" w:line="240" w:lineRule="auto"/>
        <w:ind w:left="426" w:hanging="426"/>
        <w:jc w:val="both"/>
        <w:rPr>
          <w:color w:val="000000"/>
        </w:rPr>
      </w:pPr>
      <w:r>
        <w:rPr>
          <w:color w:val="000000"/>
        </w:rPr>
        <w:t xml:space="preserve">Have good listening </w:t>
      </w:r>
      <w:proofErr w:type="gramStart"/>
      <w:r>
        <w:rPr>
          <w:color w:val="000000"/>
        </w:rPr>
        <w:t>skills</w:t>
      </w:r>
      <w:proofErr w:type="gramEnd"/>
    </w:p>
    <w:p w14:paraId="0D47E6A9" w14:textId="77777777" w:rsidR="00B3086F" w:rsidRDefault="00B3086F" w:rsidP="00B3086F">
      <w:pPr>
        <w:numPr>
          <w:ilvl w:val="0"/>
          <w:numId w:val="11"/>
        </w:numPr>
        <w:spacing w:after="120" w:line="240" w:lineRule="auto"/>
        <w:ind w:left="426" w:hanging="426"/>
        <w:jc w:val="both"/>
        <w:rPr>
          <w:color w:val="000000"/>
        </w:rPr>
      </w:pPr>
      <w:r>
        <w:rPr>
          <w:color w:val="000000"/>
        </w:rPr>
        <w:t xml:space="preserve">Have good observation </w:t>
      </w:r>
      <w:proofErr w:type="gramStart"/>
      <w:r>
        <w:rPr>
          <w:color w:val="000000"/>
        </w:rPr>
        <w:t>skills</w:t>
      </w:r>
      <w:proofErr w:type="gramEnd"/>
    </w:p>
    <w:p w14:paraId="1A6895B2" w14:textId="77777777" w:rsidR="00B3086F" w:rsidRDefault="00B3086F" w:rsidP="00B3086F">
      <w:pPr>
        <w:numPr>
          <w:ilvl w:val="0"/>
          <w:numId w:val="11"/>
        </w:numPr>
        <w:spacing w:after="120" w:line="240" w:lineRule="auto"/>
        <w:ind w:left="426" w:hanging="426"/>
        <w:jc w:val="both"/>
        <w:rPr>
          <w:color w:val="000000"/>
        </w:rPr>
      </w:pPr>
      <w:r>
        <w:rPr>
          <w:color w:val="000000"/>
        </w:rPr>
        <w:t xml:space="preserve">Have good writing </w:t>
      </w:r>
      <w:proofErr w:type="gramStart"/>
      <w:r>
        <w:rPr>
          <w:color w:val="000000"/>
        </w:rPr>
        <w:t>skills</w:t>
      </w:r>
      <w:proofErr w:type="gramEnd"/>
    </w:p>
    <w:p w14:paraId="39439F43" w14:textId="77777777" w:rsidR="00B3086F" w:rsidRDefault="00B3086F" w:rsidP="00B3086F">
      <w:pPr>
        <w:numPr>
          <w:ilvl w:val="0"/>
          <w:numId w:val="11"/>
        </w:numPr>
        <w:spacing w:after="120" w:line="240" w:lineRule="auto"/>
        <w:ind w:left="426" w:hanging="426"/>
        <w:jc w:val="both"/>
        <w:rPr>
          <w:color w:val="000000"/>
        </w:rPr>
      </w:pPr>
      <w:r>
        <w:rPr>
          <w:color w:val="000000"/>
        </w:rPr>
        <w:t xml:space="preserve">Can take notes that are comprehensive but not </w:t>
      </w:r>
      <w:proofErr w:type="gramStart"/>
      <w:r>
        <w:rPr>
          <w:color w:val="000000"/>
        </w:rPr>
        <w:t>word-for-word</w:t>
      </w:r>
      <w:proofErr w:type="gramEnd"/>
    </w:p>
    <w:p w14:paraId="72419FC2" w14:textId="77777777" w:rsidR="00B3086F" w:rsidRDefault="00B3086F" w:rsidP="00B3086F">
      <w:pPr>
        <w:numPr>
          <w:ilvl w:val="0"/>
          <w:numId w:val="11"/>
        </w:numPr>
        <w:spacing w:after="120" w:line="240" w:lineRule="auto"/>
        <w:ind w:left="426" w:hanging="426"/>
        <w:jc w:val="both"/>
        <w:rPr>
          <w:color w:val="000000"/>
        </w:rPr>
      </w:pPr>
      <w:r>
        <w:rPr>
          <w:color w:val="000000"/>
        </w:rPr>
        <w:t>Act as an observer, not as a participant</w:t>
      </w:r>
    </w:p>
    <w:p w14:paraId="5A9ACE2F" w14:textId="77777777" w:rsidR="00B3086F" w:rsidRDefault="00B3086F" w:rsidP="00B3086F">
      <w:pPr>
        <w:numPr>
          <w:ilvl w:val="0"/>
          <w:numId w:val="11"/>
        </w:numPr>
        <w:spacing w:after="120" w:line="240" w:lineRule="auto"/>
        <w:ind w:left="426" w:hanging="426"/>
        <w:jc w:val="both"/>
        <w:rPr>
          <w:color w:val="000000"/>
        </w:rPr>
      </w:pPr>
      <w:r>
        <w:rPr>
          <w:color w:val="000000"/>
        </w:rPr>
        <w:t>Can remain impartial (i.e., do not give her/his opinions about topics, because this can influence what people say)</w:t>
      </w:r>
    </w:p>
    <w:p w14:paraId="7FE4D2E3" w14:textId="77777777" w:rsidR="00B3086F" w:rsidRDefault="00B3086F" w:rsidP="00B3086F">
      <w:pPr>
        <w:spacing w:after="120"/>
        <w:jc w:val="both"/>
        <w:rPr>
          <w:color w:val="FB9B1C"/>
        </w:rPr>
      </w:pPr>
      <w:r>
        <w:rPr>
          <w:color w:val="FB9B1C"/>
        </w:rPr>
        <w:t>TIME MANAGEMENT</w:t>
      </w:r>
    </w:p>
    <w:p w14:paraId="087B4B4D" w14:textId="77777777" w:rsidR="00B3086F" w:rsidRDefault="00B3086F" w:rsidP="00B3086F">
      <w:pPr>
        <w:numPr>
          <w:ilvl w:val="0"/>
          <w:numId w:val="9"/>
        </w:numPr>
        <w:spacing w:after="120" w:line="240" w:lineRule="auto"/>
        <w:jc w:val="both"/>
        <w:rPr>
          <w:b/>
        </w:rPr>
      </w:pPr>
      <w:r>
        <w:rPr>
          <w:b/>
        </w:rPr>
        <w:t>Managing time during the interview</w:t>
      </w:r>
    </w:p>
    <w:p w14:paraId="7D046DC2" w14:textId="77777777" w:rsidR="00B3086F" w:rsidRDefault="00B3086F" w:rsidP="00B3086F">
      <w:pPr>
        <w:spacing w:after="120"/>
        <w:jc w:val="both"/>
      </w:pPr>
      <w:r>
        <w:t xml:space="preserve">Individuals love to talk about their experiences and may tend to go on and on about them. Here is where your skills as an interviewer are put to the test. </w:t>
      </w:r>
      <w:proofErr w:type="gramStart"/>
      <w:r>
        <w:t>As the interviewer, your job</w:t>
      </w:r>
      <w:proofErr w:type="gramEnd"/>
      <w:r>
        <w:t xml:space="preserve"> is to structure the interview in such a way that you elicit a complete response to questions, probing insightfully so that you get the level of detail you need to arrange the issues adequately.</w:t>
      </w:r>
    </w:p>
    <w:p w14:paraId="2DF3B2CC" w14:textId="77777777" w:rsidR="00B3086F" w:rsidRDefault="00B3086F" w:rsidP="00B3086F">
      <w:pPr>
        <w:numPr>
          <w:ilvl w:val="0"/>
          <w:numId w:val="9"/>
        </w:numPr>
        <w:spacing w:after="120" w:line="240" w:lineRule="auto"/>
        <w:jc w:val="both"/>
        <w:rPr>
          <w:b/>
        </w:rPr>
      </w:pPr>
      <w:r>
        <w:rPr>
          <w:b/>
        </w:rPr>
        <w:t xml:space="preserve">Keep the interview </w:t>
      </w:r>
      <w:proofErr w:type="gramStart"/>
      <w:r>
        <w:rPr>
          <w:b/>
        </w:rPr>
        <w:t>moving</w:t>
      </w:r>
      <w:proofErr w:type="gramEnd"/>
    </w:p>
    <w:p w14:paraId="791F17BE" w14:textId="77777777" w:rsidR="00B3086F" w:rsidRDefault="00B3086F" w:rsidP="00B3086F">
      <w:r>
        <w:t>It is also your responsibility to politely lead the interview forward when what the respondent is sharing is less useful given your topics of discussion. Other times, you may want to acknowledge that your time together is waning and there are some other aspects of their work and experience that you want to be sure you have time to learn about and explore, and, for this reason, you are going to move on</w:t>
      </w:r>
    </w:p>
    <w:p w14:paraId="4EDAF607" w14:textId="0D0C399B" w:rsidR="00B3086F" w:rsidRDefault="00B3086F">
      <w:r>
        <w:br w:type="page"/>
      </w:r>
    </w:p>
    <w:p w14:paraId="23E26D53" w14:textId="77777777" w:rsidR="00B24FB8" w:rsidRDefault="00B24FB8" w:rsidP="00B24FB8">
      <w:pPr>
        <w:rPr>
          <w:lang w:val="en-US"/>
        </w:rPr>
        <w:sectPr w:rsidR="00B24FB8" w:rsidSect="00B24FB8">
          <w:pgSz w:w="11906" w:h="16838"/>
          <w:pgMar w:top="1417" w:right="1134" w:bottom="1134" w:left="1134" w:header="708" w:footer="708" w:gutter="0"/>
          <w:cols w:space="708"/>
          <w:docGrid w:linePitch="360"/>
        </w:sectPr>
      </w:pPr>
    </w:p>
    <w:p w14:paraId="7D0996C4" w14:textId="5574D804" w:rsidR="00B24FB8" w:rsidRDefault="00B24FB8" w:rsidP="00B24FB8">
      <w:pPr>
        <w:pStyle w:val="Heading2"/>
        <w:spacing w:before="0" w:after="120" w:line="240" w:lineRule="auto"/>
        <w:rPr>
          <w:rFonts w:ascii="Times New Roman" w:hAnsi="Times New Roman" w:cs="Times New Roman"/>
          <w:szCs w:val="24"/>
          <w:lang w:val="en-US"/>
        </w:rPr>
      </w:pPr>
      <w:r w:rsidRPr="00B24FB8">
        <w:rPr>
          <w:rFonts w:ascii="Times New Roman" w:hAnsi="Times New Roman" w:cs="Times New Roman"/>
          <w:szCs w:val="24"/>
          <w:lang w:val="en-US"/>
        </w:rPr>
        <w:lastRenderedPageBreak/>
        <w:t xml:space="preserve">Supplementary Materials </w:t>
      </w:r>
      <w:r w:rsidR="00E4191E">
        <w:rPr>
          <w:rFonts w:ascii="Times New Roman" w:hAnsi="Times New Roman" w:cs="Times New Roman"/>
          <w:szCs w:val="24"/>
          <w:lang w:val="en-US"/>
        </w:rPr>
        <w:t>5</w:t>
      </w:r>
    </w:p>
    <w:p w14:paraId="074616BA" w14:textId="4E11AE6D" w:rsidR="001A5ED6" w:rsidRPr="001A5ED6" w:rsidRDefault="001A5ED6" w:rsidP="001A5ED6">
      <w:pPr>
        <w:rPr>
          <w:lang w:val="en-US"/>
        </w:rPr>
      </w:pPr>
      <w:r w:rsidRPr="001A5ED6">
        <w:rPr>
          <w:lang w:val="en-US"/>
        </w:rPr>
        <w:t>Key findings from Desktop Literature Review and Qualitative research (FGs discussions and PIs)</w:t>
      </w:r>
    </w:p>
    <w:tbl>
      <w:tblPr>
        <w:tblW w:w="0" w:type="auto"/>
        <w:tblCellMar>
          <w:left w:w="70" w:type="dxa"/>
          <w:right w:w="70" w:type="dxa"/>
        </w:tblCellMar>
        <w:tblLook w:val="04A0" w:firstRow="1" w:lastRow="0" w:firstColumn="1" w:lastColumn="0" w:noHBand="0" w:noVBand="1"/>
      </w:tblPr>
      <w:tblGrid>
        <w:gridCol w:w="1136"/>
        <w:gridCol w:w="1192"/>
        <w:gridCol w:w="799"/>
        <w:gridCol w:w="5410"/>
        <w:gridCol w:w="5749"/>
      </w:tblGrid>
      <w:tr w:rsidR="000F29FE" w:rsidRPr="001A5ED6" w14:paraId="15914393" w14:textId="77777777" w:rsidTr="00F94946">
        <w:trPr>
          <w:trHeight w:val="540"/>
        </w:trPr>
        <w:tc>
          <w:tcPr>
            <w:tcW w:w="0" w:type="auto"/>
            <w:gridSpan w:val="3"/>
            <w:tcBorders>
              <w:top w:val="nil"/>
              <w:left w:val="nil"/>
              <w:bottom w:val="single" w:sz="4" w:space="0" w:color="auto"/>
              <w:right w:val="nil"/>
            </w:tcBorders>
            <w:shd w:val="clear" w:color="auto" w:fill="auto"/>
            <w:vAlign w:val="center"/>
            <w:hideMark/>
          </w:tcPr>
          <w:p w14:paraId="485F7D15" w14:textId="78814E12" w:rsidR="00B24FB8" w:rsidRPr="00B24FB8" w:rsidRDefault="00B24FB8" w:rsidP="001A5ED6">
            <w:pPr>
              <w:spacing w:after="0" w:line="240" w:lineRule="auto"/>
              <w:contextualSpacing/>
              <w:jc w:val="center"/>
              <w:rPr>
                <w:rFonts w:ascii="Arial" w:eastAsia="Times New Roman" w:hAnsi="Arial" w:cs="Arial"/>
                <w:b/>
                <w:bCs/>
                <w:color w:val="7030A0"/>
                <w:sz w:val="20"/>
                <w:szCs w:val="20"/>
                <w:lang w:val="en-US" w:eastAsia="it-IT"/>
              </w:rPr>
            </w:pPr>
          </w:p>
        </w:tc>
        <w:tc>
          <w:tcPr>
            <w:tcW w:w="0" w:type="auto"/>
            <w:tcBorders>
              <w:top w:val="nil"/>
              <w:left w:val="nil"/>
              <w:bottom w:val="nil"/>
              <w:right w:val="nil"/>
            </w:tcBorders>
            <w:shd w:val="clear" w:color="auto" w:fill="auto"/>
            <w:vAlign w:val="center"/>
            <w:hideMark/>
          </w:tcPr>
          <w:p w14:paraId="124E5BCF" w14:textId="77777777" w:rsidR="00B24FB8" w:rsidRPr="00B24FB8" w:rsidRDefault="00B24FB8" w:rsidP="001A5ED6">
            <w:pPr>
              <w:spacing w:after="10" w:line="240" w:lineRule="auto"/>
              <w:contextualSpacing/>
              <w:jc w:val="center"/>
              <w:rPr>
                <w:rFonts w:ascii="Calibri" w:eastAsia="Times New Roman" w:hAnsi="Calibri" w:cs="Calibri"/>
                <w:b/>
                <w:bCs/>
                <w:color w:val="7030A0"/>
                <w:sz w:val="20"/>
                <w:szCs w:val="20"/>
                <w:lang w:val="it-IT" w:eastAsia="it-IT"/>
              </w:rPr>
            </w:pPr>
            <w:r w:rsidRPr="00B24FB8">
              <w:rPr>
                <w:rFonts w:ascii="Calibri" w:eastAsia="Times New Roman" w:hAnsi="Calibri" w:cs="Calibri"/>
                <w:b/>
                <w:bCs/>
                <w:color w:val="7030A0"/>
                <w:sz w:val="20"/>
                <w:szCs w:val="20"/>
                <w:lang w:val="it-IT" w:eastAsia="it-IT"/>
              </w:rPr>
              <w:t>Desktop Literature review</w:t>
            </w:r>
          </w:p>
        </w:tc>
        <w:tc>
          <w:tcPr>
            <w:tcW w:w="0" w:type="auto"/>
            <w:tcBorders>
              <w:top w:val="nil"/>
              <w:left w:val="nil"/>
              <w:bottom w:val="nil"/>
              <w:right w:val="nil"/>
            </w:tcBorders>
            <w:shd w:val="clear" w:color="auto" w:fill="auto"/>
            <w:vAlign w:val="center"/>
            <w:hideMark/>
          </w:tcPr>
          <w:p w14:paraId="6324CB1F" w14:textId="77777777" w:rsidR="00B24FB8" w:rsidRPr="00B24FB8" w:rsidRDefault="00B24FB8" w:rsidP="001A5ED6">
            <w:pPr>
              <w:spacing w:after="10" w:line="240" w:lineRule="auto"/>
              <w:contextualSpacing/>
              <w:jc w:val="center"/>
              <w:rPr>
                <w:rFonts w:ascii="Calibri" w:eastAsia="Times New Roman" w:hAnsi="Calibri" w:cs="Calibri"/>
                <w:b/>
                <w:bCs/>
                <w:color w:val="7030A0"/>
                <w:sz w:val="20"/>
                <w:szCs w:val="20"/>
                <w:lang w:val="it-IT" w:eastAsia="it-IT"/>
              </w:rPr>
            </w:pPr>
            <w:r w:rsidRPr="00B24FB8">
              <w:rPr>
                <w:rFonts w:ascii="Calibri" w:eastAsia="Times New Roman" w:hAnsi="Calibri" w:cs="Calibri"/>
                <w:b/>
                <w:bCs/>
                <w:color w:val="7030A0"/>
                <w:sz w:val="20"/>
                <w:szCs w:val="20"/>
                <w:lang w:val="it-IT" w:eastAsia="it-IT"/>
              </w:rPr>
              <w:t xml:space="preserve">Qualitative </w:t>
            </w:r>
            <w:proofErr w:type="spellStart"/>
            <w:r w:rsidRPr="00B24FB8">
              <w:rPr>
                <w:rFonts w:ascii="Calibri" w:eastAsia="Times New Roman" w:hAnsi="Calibri" w:cs="Calibri"/>
                <w:b/>
                <w:bCs/>
                <w:color w:val="7030A0"/>
                <w:sz w:val="20"/>
                <w:szCs w:val="20"/>
                <w:lang w:val="it-IT" w:eastAsia="it-IT"/>
              </w:rPr>
              <w:t>Research</w:t>
            </w:r>
            <w:proofErr w:type="spellEnd"/>
          </w:p>
        </w:tc>
      </w:tr>
      <w:tr w:rsidR="008E57CF" w:rsidRPr="00B24FB8" w14:paraId="45F94D55" w14:textId="77777777" w:rsidTr="00F94946">
        <w:trPr>
          <w:trHeight w:val="2029"/>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00DA13AE"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it-IT" w:eastAsia="it-IT"/>
              </w:rPr>
            </w:pPr>
            <w:proofErr w:type="spellStart"/>
            <w:r w:rsidRPr="00B24FB8">
              <w:rPr>
                <w:rFonts w:ascii="Arial" w:eastAsia="Times New Roman" w:hAnsi="Arial" w:cs="Arial"/>
                <w:b/>
                <w:bCs/>
                <w:color w:val="000000"/>
                <w:sz w:val="16"/>
                <w:szCs w:val="16"/>
                <w:lang w:val="it-IT" w:eastAsia="it-IT"/>
              </w:rPr>
              <w:t>Entitlement</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931B34E"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bookmarkStart w:id="16" w:name="RANGE!B4"/>
            <w:r w:rsidRPr="00B24FB8">
              <w:rPr>
                <w:rFonts w:ascii="Arial" w:eastAsia="Times New Roman" w:hAnsi="Arial" w:cs="Arial"/>
                <w:color w:val="000000"/>
                <w:sz w:val="16"/>
                <w:szCs w:val="16"/>
                <w:lang w:val="it-IT" w:eastAsia="it-IT"/>
              </w:rPr>
              <w:t>Legal</w:t>
            </w:r>
            <w:bookmarkEnd w:id="16"/>
          </w:p>
        </w:tc>
        <w:tc>
          <w:tcPr>
            <w:tcW w:w="0" w:type="auto"/>
            <w:tcBorders>
              <w:top w:val="nil"/>
              <w:left w:val="nil"/>
              <w:bottom w:val="single" w:sz="4" w:space="0" w:color="auto"/>
              <w:right w:val="single" w:sz="4" w:space="0" w:color="auto"/>
            </w:tcBorders>
            <w:shd w:val="clear" w:color="auto" w:fill="auto"/>
            <w:hideMark/>
          </w:tcPr>
          <w:p w14:paraId="12B8A0EA"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5001ED53" w14:textId="16A48F19"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w:t>
            </w:r>
            <w:r w:rsidR="00F94946">
              <w:rPr>
                <w:rFonts w:ascii="Calibri" w:eastAsia="Times New Roman" w:hAnsi="Calibri" w:cs="Calibri"/>
                <w:color w:val="000000"/>
                <w:sz w:val="16"/>
                <w:szCs w:val="16"/>
                <w:lang w:val="en-US" w:eastAsia="it-IT"/>
              </w:rPr>
              <w:t xml:space="preserve"> </w:t>
            </w:r>
            <w:r w:rsidRPr="00B24FB8">
              <w:rPr>
                <w:rFonts w:ascii="Calibri" w:eastAsia="Times New Roman" w:hAnsi="Calibri" w:cs="Calibri"/>
                <w:color w:val="000000"/>
                <w:sz w:val="16"/>
                <w:szCs w:val="16"/>
                <w:lang w:val="en-US" w:eastAsia="it-IT"/>
              </w:rPr>
              <w:t xml:space="preserve">Host countries may lack policies and other legal documents with specific recommendations on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for refugees and other migrants</w:t>
            </w:r>
            <w:r w:rsidRPr="00B24FB8">
              <w:rPr>
                <w:rFonts w:ascii="Calibri" w:eastAsia="Times New Roman" w:hAnsi="Calibri" w:cs="Calibri"/>
                <w:color w:val="000000"/>
                <w:sz w:val="16"/>
                <w:szCs w:val="16"/>
                <w:lang w:val="en-US" w:eastAsia="it-IT"/>
              </w:rPr>
              <w:br/>
              <w:t xml:space="preserve"> - In host countries, migrants may not be specially included in National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Programs (NIPs)</w:t>
            </w:r>
            <w:r w:rsidRPr="00B24FB8">
              <w:rPr>
                <w:rFonts w:ascii="Calibri" w:eastAsia="Times New Roman" w:hAnsi="Calibri" w:cs="Calibri"/>
                <w:color w:val="000000"/>
                <w:sz w:val="16"/>
                <w:szCs w:val="16"/>
                <w:lang w:val="en-US" w:eastAsia="it-IT"/>
              </w:rPr>
              <w:br/>
              <w:t xml:space="preserve"> - Migrants may have differences in entitlement to health and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services when they arrive in host countries either with respect to the local population and among different groups (e.g. asylum seekers, refugees, undocumented migrants)</w:t>
            </w:r>
            <w:r w:rsidRPr="00B24FB8">
              <w:rPr>
                <w:rFonts w:ascii="Calibri" w:eastAsia="Times New Roman" w:hAnsi="Calibri" w:cs="Calibri"/>
                <w:color w:val="000000"/>
                <w:sz w:val="16"/>
                <w:szCs w:val="16"/>
                <w:lang w:val="en-US" w:eastAsia="it-IT"/>
              </w:rPr>
              <w:br/>
              <w:t xml:space="preserve"> - Health policies towards refugees and other migrants vary significantly among host countries and may influence their access to vaccination across countries.</w:t>
            </w:r>
          </w:p>
        </w:tc>
        <w:tc>
          <w:tcPr>
            <w:tcW w:w="0" w:type="auto"/>
            <w:tcBorders>
              <w:top w:val="single" w:sz="4" w:space="0" w:color="auto"/>
              <w:left w:val="nil"/>
              <w:bottom w:val="single" w:sz="4" w:space="0" w:color="auto"/>
              <w:right w:val="single" w:sz="4" w:space="0" w:color="auto"/>
            </w:tcBorders>
            <w:shd w:val="clear" w:color="auto" w:fill="auto"/>
            <w:hideMark/>
          </w:tcPr>
          <w:p w14:paraId="74FA6B75"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-Focus Groups and Interviews showed that in all countries, there is an absence of protocols specific to the immunization of NAMs. Procedures seem to be much more explicit concerning asylum seekers, however, public policy institutions have not considered rights to vaccination specifically for NAMs.</w:t>
            </w:r>
            <w:r w:rsidRPr="00B24FB8">
              <w:rPr>
                <w:rFonts w:ascii="Calibri" w:eastAsia="Times New Roman" w:hAnsi="Calibri" w:cs="Calibri"/>
                <w:color w:val="000000"/>
                <w:sz w:val="16"/>
                <w:szCs w:val="16"/>
                <w:lang w:val="en-US" w:eastAsia="it-IT"/>
              </w:rPr>
              <w:br/>
              <w:t xml:space="preserve"> - Participants in Spain </w:t>
            </w:r>
            <w:proofErr w:type="spellStart"/>
            <w:r w:rsidRPr="00B24FB8">
              <w:rPr>
                <w:rFonts w:ascii="Calibri" w:eastAsia="Times New Roman" w:hAnsi="Calibri" w:cs="Calibri"/>
                <w:color w:val="000000"/>
                <w:sz w:val="16"/>
                <w:szCs w:val="16"/>
                <w:lang w:val="en-US" w:eastAsia="it-IT"/>
              </w:rPr>
              <w:t>emphasised</w:t>
            </w:r>
            <w:proofErr w:type="spellEnd"/>
            <w:r w:rsidRPr="00B24FB8">
              <w:rPr>
                <w:rFonts w:ascii="Calibri" w:eastAsia="Times New Roman" w:hAnsi="Calibri" w:cs="Calibri"/>
                <w:color w:val="000000"/>
                <w:sz w:val="16"/>
                <w:szCs w:val="16"/>
                <w:lang w:val="en-US" w:eastAsia="it-IT"/>
              </w:rPr>
              <w:t xml:space="preserve"> the importance of universal healthcare for all.</w:t>
            </w:r>
            <w:r w:rsidRPr="00B24FB8">
              <w:rPr>
                <w:rFonts w:ascii="Calibri" w:eastAsia="Times New Roman" w:hAnsi="Calibri" w:cs="Calibri"/>
                <w:color w:val="000000"/>
                <w:sz w:val="16"/>
                <w:szCs w:val="16"/>
                <w:lang w:val="en-US" w:eastAsia="it-IT"/>
              </w:rPr>
              <w:br/>
              <w:t xml:space="preserve"> - Even though Germany, Greece and have free access to vaccinations, NAMs from Third countries (not including the EU) are not prioritized mainly due to a lack of availability of vaccines/ vaccine flow.</w:t>
            </w:r>
          </w:p>
        </w:tc>
      </w:tr>
      <w:tr w:rsidR="008E57CF" w:rsidRPr="00B24FB8" w14:paraId="4E584575" w14:textId="77777777" w:rsidTr="00F94946">
        <w:trPr>
          <w:trHeight w:val="980"/>
        </w:trPr>
        <w:tc>
          <w:tcPr>
            <w:tcW w:w="0" w:type="auto"/>
            <w:vMerge/>
            <w:tcBorders>
              <w:top w:val="nil"/>
              <w:left w:val="single" w:sz="4" w:space="0" w:color="auto"/>
              <w:bottom w:val="single" w:sz="4" w:space="0" w:color="auto"/>
              <w:right w:val="single" w:sz="4" w:space="0" w:color="auto"/>
            </w:tcBorders>
            <w:vAlign w:val="center"/>
            <w:hideMark/>
          </w:tcPr>
          <w:p w14:paraId="08188A07"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3073E158"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6898CCA6"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48EFFAC9"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Legal status should not be </w:t>
            </w:r>
            <w:proofErr w:type="gramStart"/>
            <w:r w:rsidRPr="00B24FB8">
              <w:rPr>
                <w:rFonts w:ascii="Calibri" w:eastAsia="Times New Roman" w:hAnsi="Calibri" w:cs="Calibri"/>
                <w:color w:val="000000"/>
                <w:sz w:val="16"/>
                <w:szCs w:val="16"/>
                <w:lang w:val="en-US" w:eastAsia="it-IT"/>
              </w:rPr>
              <w:t>taken into account</w:t>
            </w:r>
            <w:proofErr w:type="gramEnd"/>
            <w:r w:rsidRPr="00B24FB8">
              <w:rPr>
                <w:rFonts w:ascii="Calibri" w:eastAsia="Times New Roman" w:hAnsi="Calibri" w:cs="Calibri"/>
                <w:color w:val="000000"/>
                <w:sz w:val="16"/>
                <w:szCs w:val="16"/>
                <w:lang w:val="en-US" w:eastAsia="it-IT"/>
              </w:rPr>
              <w:t xml:space="preserve"> for the decision on access to vaccinations.</w:t>
            </w:r>
            <w:r w:rsidRPr="00B24FB8">
              <w:rPr>
                <w:rFonts w:ascii="Calibri" w:eastAsia="Times New Roman" w:hAnsi="Calibri" w:cs="Calibri"/>
                <w:color w:val="000000"/>
                <w:sz w:val="16"/>
                <w:szCs w:val="16"/>
                <w:lang w:val="en-US" w:eastAsia="it-IT"/>
              </w:rPr>
              <w:br/>
              <w:t xml:space="preserve"> - Avoid relying on </w:t>
            </w:r>
            <w:proofErr w:type="spellStart"/>
            <w:r w:rsidRPr="00B24FB8">
              <w:rPr>
                <w:rFonts w:ascii="Calibri" w:eastAsia="Times New Roman" w:hAnsi="Calibri" w:cs="Calibri"/>
                <w:color w:val="000000"/>
                <w:sz w:val="16"/>
                <w:szCs w:val="16"/>
                <w:lang w:val="en-US" w:eastAsia="it-IT"/>
              </w:rPr>
              <w:t>regularisation</w:t>
            </w:r>
            <w:proofErr w:type="spellEnd"/>
            <w:r w:rsidRPr="00B24FB8">
              <w:rPr>
                <w:rFonts w:ascii="Calibri" w:eastAsia="Times New Roman" w:hAnsi="Calibri" w:cs="Calibri"/>
                <w:color w:val="000000"/>
                <w:sz w:val="16"/>
                <w:szCs w:val="16"/>
                <w:lang w:val="en-US" w:eastAsia="it-IT"/>
              </w:rPr>
              <w:t xml:space="preserve"> of legal status because it would unacceptably delay the protective effects of in particular for high-risk population groups (unaccompanied minors, children, pregnant women and the elderly)</w:t>
            </w:r>
          </w:p>
        </w:tc>
        <w:tc>
          <w:tcPr>
            <w:tcW w:w="0" w:type="auto"/>
            <w:tcBorders>
              <w:top w:val="nil"/>
              <w:left w:val="nil"/>
              <w:bottom w:val="single" w:sz="4" w:space="0" w:color="auto"/>
              <w:right w:val="single" w:sz="4" w:space="0" w:color="auto"/>
            </w:tcBorders>
            <w:shd w:val="clear" w:color="auto" w:fill="auto"/>
            <w:hideMark/>
          </w:tcPr>
          <w:p w14:paraId="3974BBE0"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In Greece, a prioritization is provided for vaccines against diseases that can cause outbreaks / epidemics, </w:t>
            </w:r>
            <w:proofErr w:type="gramStart"/>
            <w:r w:rsidRPr="00B24FB8">
              <w:rPr>
                <w:rFonts w:ascii="Calibri" w:eastAsia="Times New Roman" w:hAnsi="Calibri" w:cs="Calibri"/>
                <w:color w:val="000000"/>
                <w:sz w:val="16"/>
                <w:szCs w:val="16"/>
                <w:lang w:val="en-US" w:eastAsia="it-IT"/>
              </w:rPr>
              <w:t>i.e.</w:t>
            </w:r>
            <w:proofErr w:type="gramEnd"/>
            <w:r w:rsidRPr="00B24FB8">
              <w:rPr>
                <w:rFonts w:ascii="Calibri" w:eastAsia="Times New Roman" w:hAnsi="Calibri" w:cs="Calibri"/>
                <w:color w:val="000000"/>
                <w:sz w:val="16"/>
                <w:szCs w:val="16"/>
                <w:lang w:val="en-US" w:eastAsia="it-IT"/>
              </w:rPr>
              <w:t xml:space="preserve"> MMR.</w:t>
            </w:r>
            <w:r w:rsidRPr="00B24FB8">
              <w:rPr>
                <w:rFonts w:ascii="Calibri" w:eastAsia="Times New Roman" w:hAnsi="Calibri" w:cs="Calibri"/>
                <w:color w:val="000000"/>
                <w:sz w:val="16"/>
                <w:szCs w:val="16"/>
                <w:lang w:val="en-US" w:eastAsia="it-IT"/>
              </w:rPr>
              <w:br/>
              <w:t>- In Cyprus, NAMs from Third countries receive standard vaccinations in reception camps (polio, tetanus and diphtheria), but this process is characterized by long delays.</w:t>
            </w:r>
          </w:p>
        </w:tc>
      </w:tr>
      <w:tr w:rsidR="008E57CF" w:rsidRPr="00B24FB8" w14:paraId="20DF9CD6" w14:textId="77777777" w:rsidTr="00F94946">
        <w:trPr>
          <w:trHeight w:val="838"/>
        </w:trPr>
        <w:tc>
          <w:tcPr>
            <w:tcW w:w="0" w:type="auto"/>
            <w:vMerge/>
            <w:tcBorders>
              <w:top w:val="nil"/>
              <w:left w:val="single" w:sz="4" w:space="0" w:color="auto"/>
              <w:bottom w:val="single" w:sz="4" w:space="0" w:color="auto"/>
              <w:right w:val="single" w:sz="4" w:space="0" w:color="auto"/>
            </w:tcBorders>
            <w:vAlign w:val="center"/>
            <w:hideMark/>
          </w:tcPr>
          <w:p w14:paraId="2B6D857A"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23A66959"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proofErr w:type="spellStart"/>
            <w:r w:rsidRPr="00B24FB8">
              <w:rPr>
                <w:rFonts w:ascii="Arial" w:eastAsia="Times New Roman" w:hAnsi="Arial" w:cs="Arial"/>
                <w:color w:val="000000"/>
                <w:sz w:val="16"/>
                <w:szCs w:val="16"/>
                <w:lang w:val="it-IT" w:eastAsia="it-IT"/>
              </w:rPr>
              <w:t>Economic</w:t>
            </w:r>
            <w:proofErr w:type="spellEnd"/>
          </w:p>
        </w:tc>
        <w:tc>
          <w:tcPr>
            <w:tcW w:w="0" w:type="auto"/>
            <w:tcBorders>
              <w:top w:val="nil"/>
              <w:left w:val="nil"/>
              <w:bottom w:val="single" w:sz="4" w:space="0" w:color="auto"/>
              <w:right w:val="single" w:sz="4" w:space="0" w:color="auto"/>
            </w:tcBorders>
            <w:shd w:val="clear" w:color="auto" w:fill="auto"/>
            <w:hideMark/>
          </w:tcPr>
          <w:p w14:paraId="42242E82"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01190D64"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In some host countries there is a lack of clarity on whether there is a cost/fee for people who are not enrolled in national health system/ insurance plans</w:t>
            </w:r>
            <w:r w:rsidRPr="00B24FB8">
              <w:rPr>
                <w:rFonts w:ascii="Calibri" w:eastAsia="Times New Roman" w:hAnsi="Calibri" w:cs="Calibri"/>
                <w:color w:val="000000"/>
                <w:sz w:val="16"/>
                <w:szCs w:val="16"/>
                <w:lang w:val="en-US" w:eastAsia="it-IT"/>
              </w:rPr>
              <w:br/>
              <w:t>- Many migrant groups do not have access to free health care and vaccines upon arrival in some host countries.</w:t>
            </w:r>
          </w:p>
        </w:tc>
        <w:tc>
          <w:tcPr>
            <w:tcW w:w="0" w:type="auto"/>
            <w:tcBorders>
              <w:top w:val="nil"/>
              <w:left w:val="nil"/>
              <w:bottom w:val="single" w:sz="4" w:space="0" w:color="auto"/>
              <w:right w:val="single" w:sz="4" w:space="0" w:color="auto"/>
            </w:tcBorders>
            <w:shd w:val="clear" w:color="auto" w:fill="auto"/>
            <w:hideMark/>
          </w:tcPr>
          <w:p w14:paraId="392378D7"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Malta stresses a financial barrier concerning the immunization of Third country nationals who apply for work permits, since vaccinations are needed when applying for a job. Work permit seekers are urged to pay for vaccinations themselves</w:t>
            </w:r>
          </w:p>
        </w:tc>
      </w:tr>
      <w:tr w:rsidR="008E57CF" w:rsidRPr="00B24FB8" w14:paraId="3CF4B651" w14:textId="77777777" w:rsidTr="00F94946">
        <w:trPr>
          <w:trHeight w:val="480"/>
        </w:trPr>
        <w:tc>
          <w:tcPr>
            <w:tcW w:w="0" w:type="auto"/>
            <w:vMerge/>
            <w:tcBorders>
              <w:top w:val="nil"/>
              <w:left w:val="single" w:sz="4" w:space="0" w:color="auto"/>
              <w:bottom w:val="single" w:sz="4" w:space="0" w:color="auto"/>
              <w:right w:val="single" w:sz="4" w:space="0" w:color="auto"/>
            </w:tcBorders>
            <w:vAlign w:val="center"/>
            <w:hideMark/>
          </w:tcPr>
          <w:p w14:paraId="3D907CAF"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6B0C0F3A"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48B1131D"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4C3720DE"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it-IT" w:eastAsia="it-IT"/>
              </w:rPr>
            </w:pPr>
            <w:r w:rsidRPr="00B24FB8">
              <w:rPr>
                <w:rFonts w:ascii="Calibri" w:eastAsia="Times New Roman" w:hAnsi="Calibri" w:cs="Calibri"/>
                <w:color w:val="000000"/>
                <w:sz w:val="16"/>
                <w:szCs w:val="16"/>
                <w:lang w:val="it-IT" w:eastAsia="it-IT"/>
              </w:rPr>
              <w:t>None from literature</w:t>
            </w:r>
          </w:p>
        </w:tc>
        <w:tc>
          <w:tcPr>
            <w:tcW w:w="0" w:type="auto"/>
            <w:tcBorders>
              <w:top w:val="nil"/>
              <w:left w:val="nil"/>
              <w:bottom w:val="single" w:sz="4" w:space="0" w:color="auto"/>
              <w:right w:val="single" w:sz="4" w:space="0" w:color="auto"/>
            </w:tcBorders>
            <w:shd w:val="clear" w:color="auto" w:fill="auto"/>
            <w:hideMark/>
          </w:tcPr>
          <w:p w14:paraId="79F4BC9C"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Nothing relevant among key findings from qualitative research</w:t>
            </w:r>
          </w:p>
        </w:tc>
      </w:tr>
      <w:tr w:rsidR="008E57CF" w:rsidRPr="00B24FB8" w14:paraId="07712A62" w14:textId="77777777" w:rsidTr="00F94946">
        <w:trPr>
          <w:trHeight w:val="3612"/>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13030ED4"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it-IT" w:eastAsia="it-IT"/>
              </w:rPr>
            </w:pPr>
            <w:proofErr w:type="spellStart"/>
            <w:r w:rsidRPr="00B24FB8">
              <w:rPr>
                <w:rFonts w:ascii="Arial" w:eastAsia="Times New Roman" w:hAnsi="Arial" w:cs="Arial"/>
                <w:b/>
                <w:bCs/>
                <w:color w:val="000000"/>
                <w:sz w:val="16"/>
                <w:szCs w:val="16"/>
                <w:lang w:val="it-IT" w:eastAsia="it-IT"/>
              </w:rPr>
              <w:t>Reachability</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775CA6D7"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proofErr w:type="spellStart"/>
            <w:r w:rsidRPr="00B24FB8">
              <w:rPr>
                <w:rFonts w:ascii="Arial" w:eastAsia="Times New Roman" w:hAnsi="Arial" w:cs="Arial"/>
                <w:color w:val="000000"/>
                <w:sz w:val="16"/>
                <w:szCs w:val="16"/>
                <w:lang w:val="it-IT" w:eastAsia="it-IT"/>
              </w:rPr>
              <w:t>Organizational</w:t>
            </w:r>
            <w:proofErr w:type="spellEnd"/>
          </w:p>
        </w:tc>
        <w:tc>
          <w:tcPr>
            <w:tcW w:w="0" w:type="auto"/>
            <w:tcBorders>
              <w:top w:val="nil"/>
              <w:left w:val="nil"/>
              <w:bottom w:val="single" w:sz="4" w:space="0" w:color="auto"/>
              <w:right w:val="single" w:sz="4" w:space="0" w:color="auto"/>
            </w:tcBorders>
            <w:shd w:val="clear" w:color="auto" w:fill="auto"/>
            <w:hideMark/>
          </w:tcPr>
          <w:p w14:paraId="38797F6A"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2819E259"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The lack of identification documents is a significant obstacle for reaching migrants. Many refugees and migrants, through fears of legal problems, may have chosen not to keep, or have lost, any personal documentation including vaccination records.</w:t>
            </w:r>
            <w:r w:rsidRPr="00B24FB8">
              <w:rPr>
                <w:rFonts w:ascii="Calibri" w:eastAsia="Times New Roman" w:hAnsi="Calibri" w:cs="Calibri"/>
                <w:color w:val="000000"/>
                <w:sz w:val="16"/>
                <w:szCs w:val="16"/>
                <w:lang w:val="en-US" w:eastAsia="it-IT"/>
              </w:rPr>
              <w:br/>
              <w:t>- Difficulty of identifying migrants from health registries because they often lack registration with the NHS or health insurance</w:t>
            </w:r>
            <w:r w:rsidRPr="00B24FB8">
              <w:rPr>
                <w:rFonts w:ascii="Calibri" w:eastAsia="Times New Roman" w:hAnsi="Calibri" w:cs="Calibri"/>
                <w:color w:val="000000"/>
                <w:sz w:val="16"/>
                <w:szCs w:val="16"/>
                <w:lang w:val="en-US" w:eastAsia="it-IT"/>
              </w:rPr>
              <w:br/>
              <w:t>- Difficulties in receiving and understanding invitation letter: even if migrant groups are on the register they have a high mobility and may not understand the invitation letters sent to attend for vaccination</w:t>
            </w:r>
            <w:r w:rsidRPr="00B24FB8">
              <w:rPr>
                <w:rFonts w:ascii="Calibri" w:eastAsia="Times New Roman" w:hAnsi="Calibri" w:cs="Calibri"/>
                <w:color w:val="000000"/>
                <w:sz w:val="16"/>
                <w:szCs w:val="16"/>
                <w:lang w:val="en-US" w:eastAsia="it-IT"/>
              </w:rPr>
              <w:br/>
              <w:t>- Lack of procedure to reach migrants at community level. Only half of the EU countries had policies and procedures to ensure migrants’ access to vaccination at the community level, while all have it only at point of entry</w:t>
            </w:r>
            <w:r w:rsidRPr="00B24FB8">
              <w:rPr>
                <w:rFonts w:ascii="Calibri" w:eastAsia="Times New Roman" w:hAnsi="Calibri" w:cs="Calibri"/>
                <w:color w:val="000000"/>
                <w:sz w:val="16"/>
                <w:szCs w:val="16"/>
                <w:lang w:val="en-US" w:eastAsia="it-IT"/>
              </w:rPr>
              <w:br/>
              <w:t xml:space="preserve">- Difficulties with NGOs, which often support communication and access for refugees and asylum seekers, in providing ongoing care and to coordinate with other </w:t>
            </w:r>
            <w:proofErr w:type="spellStart"/>
            <w:r w:rsidRPr="00B24FB8">
              <w:rPr>
                <w:rFonts w:ascii="Calibri" w:eastAsia="Times New Roman" w:hAnsi="Calibri" w:cs="Calibri"/>
                <w:color w:val="000000"/>
                <w:sz w:val="16"/>
                <w:szCs w:val="16"/>
                <w:lang w:val="en-US" w:eastAsia="it-IT"/>
              </w:rPr>
              <w:t>organisations</w:t>
            </w:r>
            <w:proofErr w:type="spellEnd"/>
          </w:p>
        </w:tc>
        <w:tc>
          <w:tcPr>
            <w:tcW w:w="0" w:type="auto"/>
            <w:tcBorders>
              <w:top w:val="nil"/>
              <w:left w:val="nil"/>
              <w:bottom w:val="single" w:sz="4" w:space="0" w:color="auto"/>
              <w:right w:val="single" w:sz="4" w:space="0" w:color="auto"/>
            </w:tcBorders>
            <w:shd w:val="clear" w:color="auto" w:fill="auto"/>
            <w:hideMark/>
          </w:tcPr>
          <w:p w14:paraId="040D25D6"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Locating NAMs to organize immunizations seems to be a challenging procedure for all countries, since there is lack of well-organized immunization records/data bases for the specific population.</w:t>
            </w:r>
            <w:r w:rsidRPr="00B24FB8">
              <w:rPr>
                <w:rFonts w:ascii="Calibri" w:eastAsia="Times New Roman" w:hAnsi="Calibri" w:cs="Calibri"/>
                <w:color w:val="000000"/>
                <w:sz w:val="16"/>
                <w:szCs w:val="16"/>
                <w:lang w:val="en-US" w:eastAsia="it-IT"/>
              </w:rPr>
              <w:br/>
              <w:t xml:space="preserve"> -  The main challenges concerning vaccination are when NAMs start to live in the wider community:</w:t>
            </w:r>
            <w:r w:rsidRPr="00B24FB8">
              <w:rPr>
                <w:rFonts w:ascii="Calibri" w:eastAsia="Times New Roman" w:hAnsi="Calibri" w:cs="Calibri"/>
                <w:color w:val="000000"/>
                <w:sz w:val="16"/>
                <w:szCs w:val="16"/>
                <w:lang w:val="en-US" w:eastAsia="it-IT"/>
              </w:rPr>
              <w:br/>
              <w:t>● They often move to another country (this is especially true for first entry countries)</w:t>
            </w:r>
            <w:r w:rsidRPr="00B24FB8">
              <w:rPr>
                <w:rFonts w:ascii="Calibri" w:eastAsia="Times New Roman" w:hAnsi="Calibri" w:cs="Calibri"/>
                <w:color w:val="000000"/>
                <w:sz w:val="16"/>
                <w:szCs w:val="16"/>
                <w:lang w:val="en-US" w:eastAsia="it-IT"/>
              </w:rPr>
              <w:br/>
              <w:t>● They often change address or move to another region without informing about their new address hence invitation letters for booster shots (where available) cannot be delivered.</w:t>
            </w:r>
            <w:r w:rsidRPr="00B24FB8">
              <w:rPr>
                <w:rFonts w:ascii="Calibri" w:eastAsia="Times New Roman" w:hAnsi="Calibri" w:cs="Calibri"/>
                <w:color w:val="000000"/>
                <w:sz w:val="16"/>
                <w:szCs w:val="16"/>
                <w:lang w:val="en-US" w:eastAsia="it-IT"/>
              </w:rPr>
              <w:br/>
              <w:t>● Thy often change contact mobile numbers hence messages concerning up-coming immunizations, immunization certificates cannot be sent to them.</w:t>
            </w:r>
            <w:r w:rsidRPr="00B24FB8">
              <w:rPr>
                <w:rFonts w:ascii="Calibri" w:eastAsia="Times New Roman" w:hAnsi="Calibri" w:cs="Calibri"/>
                <w:color w:val="000000"/>
                <w:sz w:val="16"/>
                <w:szCs w:val="16"/>
                <w:lang w:val="en-US" w:eastAsia="it-IT"/>
              </w:rPr>
              <w:br/>
              <w:t xml:space="preserve">● Undocumented NAMs avoid visiting vaccination centers, due to fear of deportation. </w:t>
            </w:r>
            <w:r w:rsidRPr="00B24FB8">
              <w:rPr>
                <w:rFonts w:ascii="Calibri" w:eastAsia="Times New Roman" w:hAnsi="Calibri" w:cs="Calibri"/>
                <w:color w:val="000000"/>
                <w:sz w:val="16"/>
                <w:szCs w:val="16"/>
                <w:lang w:val="en-US" w:eastAsia="it-IT"/>
              </w:rPr>
              <w:br/>
              <w:t>● Lack of culturally sensitive and language specific campaigns for NAMs about immunizations</w:t>
            </w:r>
          </w:p>
        </w:tc>
      </w:tr>
      <w:tr w:rsidR="008E57CF" w:rsidRPr="00B24FB8" w14:paraId="36383B50" w14:textId="77777777" w:rsidTr="00F94946">
        <w:trPr>
          <w:trHeight w:val="5375"/>
        </w:trPr>
        <w:tc>
          <w:tcPr>
            <w:tcW w:w="0" w:type="auto"/>
            <w:vMerge/>
            <w:tcBorders>
              <w:top w:val="nil"/>
              <w:left w:val="single" w:sz="4" w:space="0" w:color="auto"/>
              <w:bottom w:val="single" w:sz="4" w:space="0" w:color="auto"/>
              <w:right w:val="single" w:sz="4" w:space="0" w:color="auto"/>
            </w:tcBorders>
            <w:vAlign w:val="center"/>
            <w:hideMark/>
          </w:tcPr>
          <w:p w14:paraId="1B73A874"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3F121C1E"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34CD8AA8"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4C4D2E1D"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Flexible solutions to overcome problem of identification</w:t>
            </w:r>
            <w:r w:rsidRPr="00B24FB8">
              <w:rPr>
                <w:rFonts w:ascii="Calibri" w:eastAsia="Times New Roman" w:hAnsi="Calibri" w:cs="Calibri"/>
                <w:color w:val="000000"/>
                <w:sz w:val="16"/>
                <w:szCs w:val="16"/>
                <w:lang w:val="en-US" w:eastAsia="it-IT"/>
              </w:rPr>
              <w:br/>
              <w:t xml:space="preserve">-Periodic Intensification of Routine Immunization (PIRI) services in target areas could be a potentially important intervention and a useful approach for reaching marginalized people who may remain underserved by routine service delivery and primary health care </w:t>
            </w:r>
            <w:r w:rsidRPr="00B24FB8">
              <w:rPr>
                <w:rFonts w:ascii="Calibri" w:eastAsia="Times New Roman" w:hAnsi="Calibri" w:cs="Calibri"/>
                <w:color w:val="000000"/>
                <w:sz w:val="16"/>
                <w:szCs w:val="16"/>
                <w:lang w:val="en-US" w:eastAsia="it-IT"/>
              </w:rPr>
              <w:br/>
              <w:t>-To facilitate community access and proximity health options, it is necessary to identify different vaccination solutions according to specific situations, always giving priority to the proximity of public health options</w:t>
            </w:r>
            <w:r w:rsidRPr="00B24FB8">
              <w:rPr>
                <w:rFonts w:ascii="Calibri" w:eastAsia="Times New Roman" w:hAnsi="Calibri" w:cs="Calibri"/>
                <w:color w:val="000000"/>
                <w:sz w:val="16"/>
                <w:szCs w:val="16"/>
                <w:lang w:val="en-US" w:eastAsia="it-IT"/>
              </w:rPr>
              <w:br/>
              <w:t xml:space="preserve">-For migrant reception </w:t>
            </w:r>
            <w:proofErr w:type="spellStart"/>
            <w:r w:rsidRPr="00B24FB8">
              <w:rPr>
                <w:rFonts w:ascii="Calibri" w:eastAsia="Times New Roman" w:hAnsi="Calibri" w:cs="Calibri"/>
                <w:color w:val="000000"/>
                <w:sz w:val="16"/>
                <w:szCs w:val="16"/>
                <w:lang w:val="en-US" w:eastAsia="it-IT"/>
              </w:rPr>
              <w:t>centres</w:t>
            </w:r>
            <w:proofErr w:type="spellEnd"/>
            <w:r w:rsidRPr="00B24FB8">
              <w:rPr>
                <w:rFonts w:ascii="Calibri" w:eastAsia="Times New Roman" w:hAnsi="Calibri" w:cs="Calibri"/>
                <w:color w:val="000000"/>
                <w:sz w:val="16"/>
                <w:szCs w:val="16"/>
                <w:lang w:val="en-US" w:eastAsia="it-IT"/>
              </w:rPr>
              <w:t>, possible options are:</w:t>
            </w:r>
            <w:r w:rsidRPr="00B24FB8">
              <w:rPr>
                <w:rFonts w:ascii="Calibri" w:eastAsia="Times New Roman" w:hAnsi="Calibri" w:cs="Calibri"/>
                <w:color w:val="000000"/>
                <w:sz w:val="16"/>
                <w:szCs w:val="16"/>
                <w:lang w:val="en-US" w:eastAsia="it-IT"/>
              </w:rPr>
              <w:br/>
              <w:t xml:space="preserve">●in the same reception </w:t>
            </w:r>
            <w:proofErr w:type="spellStart"/>
            <w:r w:rsidRPr="00B24FB8">
              <w:rPr>
                <w:rFonts w:ascii="Calibri" w:eastAsia="Times New Roman" w:hAnsi="Calibri" w:cs="Calibri"/>
                <w:color w:val="000000"/>
                <w:sz w:val="16"/>
                <w:szCs w:val="16"/>
                <w:lang w:val="en-US" w:eastAsia="it-IT"/>
              </w:rPr>
              <w:t>centre</w:t>
            </w:r>
            <w:proofErr w:type="spellEnd"/>
            <w:r w:rsidRPr="00B24FB8">
              <w:rPr>
                <w:rFonts w:ascii="Calibri" w:eastAsia="Times New Roman" w:hAnsi="Calibri" w:cs="Calibri"/>
                <w:color w:val="000000"/>
                <w:sz w:val="16"/>
                <w:szCs w:val="16"/>
                <w:lang w:val="en-US" w:eastAsia="it-IT"/>
              </w:rPr>
              <w:t xml:space="preserve"> (preferably for large </w:t>
            </w:r>
            <w:proofErr w:type="spellStart"/>
            <w:r w:rsidRPr="00B24FB8">
              <w:rPr>
                <w:rFonts w:ascii="Calibri" w:eastAsia="Times New Roman" w:hAnsi="Calibri" w:cs="Calibri"/>
                <w:color w:val="000000"/>
                <w:sz w:val="16"/>
                <w:szCs w:val="16"/>
                <w:lang w:val="en-US" w:eastAsia="it-IT"/>
              </w:rPr>
              <w:t>centres</w:t>
            </w:r>
            <w:proofErr w:type="spellEnd"/>
            <w:r w:rsidRPr="00B24FB8">
              <w:rPr>
                <w:rFonts w:ascii="Calibri" w:eastAsia="Times New Roman" w:hAnsi="Calibri" w:cs="Calibri"/>
                <w:color w:val="000000"/>
                <w:sz w:val="16"/>
                <w:szCs w:val="16"/>
                <w:lang w:val="en-US" w:eastAsia="it-IT"/>
              </w:rPr>
              <w:t xml:space="preserve">) through existing services or through the use of mobile units or </w:t>
            </w:r>
            <w:r w:rsidRPr="00B24FB8">
              <w:rPr>
                <w:rFonts w:ascii="Calibri" w:eastAsia="Times New Roman" w:hAnsi="Calibri" w:cs="Calibri"/>
                <w:color w:val="000000"/>
                <w:sz w:val="16"/>
                <w:szCs w:val="16"/>
                <w:lang w:val="en-US" w:eastAsia="it-IT"/>
              </w:rPr>
              <w:br/>
              <w:t xml:space="preserve">●at vaccination </w:t>
            </w:r>
            <w:proofErr w:type="spellStart"/>
            <w:r w:rsidRPr="00B24FB8">
              <w:rPr>
                <w:rFonts w:ascii="Calibri" w:eastAsia="Times New Roman" w:hAnsi="Calibri" w:cs="Calibri"/>
                <w:color w:val="000000"/>
                <w:sz w:val="16"/>
                <w:szCs w:val="16"/>
                <w:lang w:val="en-US" w:eastAsia="it-IT"/>
              </w:rPr>
              <w:t>centres</w:t>
            </w:r>
            <w:proofErr w:type="spellEnd"/>
            <w:r w:rsidRPr="00B24FB8">
              <w:rPr>
                <w:rFonts w:ascii="Calibri" w:eastAsia="Times New Roman" w:hAnsi="Calibri" w:cs="Calibri"/>
                <w:color w:val="000000"/>
                <w:sz w:val="16"/>
                <w:szCs w:val="16"/>
                <w:lang w:val="en-US" w:eastAsia="it-IT"/>
              </w:rPr>
              <w:t xml:space="preserve"> (in the case of small reception </w:t>
            </w:r>
            <w:proofErr w:type="spellStart"/>
            <w:r w:rsidRPr="00B24FB8">
              <w:rPr>
                <w:rFonts w:ascii="Calibri" w:eastAsia="Times New Roman" w:hAnsi="Calibri" w:cs="Calibri"/>
                <w:color w:val="000000"/>
                <w:sz w:val="16"/>
                <w:szCs w:val="16"/>
                <w:lang w:val="en-US" w:eastAsia="it-IT"/>
              </w:rPr>
              <w:t>centres</w:t>
            </w:r>
            <w:proofErr w:type="spellEnd"/>
            <w:r w:rsidRPr="00B24FB8">
              <w:rPr>
                <w:rFonts w:ascii="Calibri" w:eastAsia="Times New Roman" w:hAnsi="Calibri" w:cs="Calibri"/>
                <w:color w:val="000000"/>
                <w:sz w:val="16"/>
                <w:szCs w:val="16"/>
                <w:lang w:val="en-US" w:eastAsia="it-IT"/>
              </w:rPr>
              <w:t>), possibly including accompanying services and linguistic and cultural mediation.</w:t>
            </w:r>
            <w:r w:rsidRPr="00B24FB8">
              <w:rPr>
                <w:rFonts w:ascii="Calibri" w:eastAsia="Times New Roman" w:hAnsi="Calibri" w:cs="Calibri"/>
                <w:color w:val="000000"/>
                <w:sz w:val="16"/>
                <w:szCs w:val="16"/>
                <w:lang w:val="en-US" w:eastAsia="it-IT"/>
              </w:rPr>
              <w:br/>
              <w:t>-</w:t>
            </w:r>
            <w:proofErr w:type="spellStart"/>
            <w:r w:rsidRPr="00B24FB8">
              <w:rPr>
                <w:rFonts w:ascii="Calibri" w:eastAsia="Times New Roman" w:hAnsi="Calibri" w:cs="Calibri"/>
                <w:color w:val="000000"/>
                <w:sz w:val="16"/>
                <w:szCs w:val="16"/>
                <w:lang w:val="en-US" w:eastAsia="it-IT"/>
              </w:rPr>
              <w:t>Utilise</w:t>
            </w:r>
            <w:proofErr w:type="spellEnd"/>
            <w:r w:rsidRPr="00B24FB8">
              <w:rPr>
                <w:rFonts w:ascii="Calibri" w:eastAsia="Times New Roman" w:hAnsi="Calibri" w:cs="Calibri"/>
                <w:color w:val="000000"/>
                <w:sz w:val="16"/>
                <w:szCs w:val="16"/>
                <w:lang w:val="en-US" w:eastAsia="it-IT"/>
              </w:rPr>
              <w:t xml:space="preserve"> mobile clinic/team as vaccination </w:t>
            </w:r>
            <w:proofErr w:type="spellStart"/>
            <w:r w:rsidRPr="00B24FB8">
              <w:rPr>
                <w:rFonts w:ascii="Calibri" w:eastAsia="Times New Roman" w:hAnsi="Calibri" w:cs="Calibri"/>
                <w:color w:val="000000"/>
                <w:sz w:val="16"/>
                <w:szCs w:val="16"/>
                <w:lang w:val="en-US" w:eastAsia="it-IT"/>
              </w:rPr>
              <w:t>centre</w:t>
            </w:r>
            <w:proofErr w:type="spellEnd"/>
            <w:r w:rsidRPr="00B24FB8">
              <w:rPr>
                <w:rFonts w:ascii="Calibri" w:eastAsia="Times New Roman" w:hAnsi="Calibri" w:cs="Calibri"/>
                <w:color w:val="000000"/>
                <w:sz w:val="16"/>
                <w:szCs w:val="16"/>
                <w:lang w:val="en-US" w:eastAsia="it-IT"/>
              </w:rPr>
              <w:br/>
              <w:t>-Networking and coordination with NGOs. There is a need for improvement in communication with asylum seekers and coordination between agencies within and beyond the medical system.</w:t>
            </w:r>
            <w:r w:rsidRPr="00B24FB8">
              <w:rPr>
                <w:rFonts w:ascii="Calibri" w:eastAsia="Times New Roman" w:hAnsi="Calibri" w:cs="Calibri"/>
                <w:color w:val="000000"/>
                <w:sz w:val="16"/>
                <w:szCs w:val="16"/>
                <w:lang w:val="en-US" w:eastAsia="it-IT"/>
              </w:rPr>
              <w:br/>
              <w:t xml:space="preserve">- Reach high-risk groups through advocacy, </w:t>
            </w:r>
            <w:proofErr w:type="gramStart"/>
            <w:r w:rsidRPr="00B24FB8">
              <w:rPr>
                <w:rFonts w:ascii="Calibri" w:eastAsia="Times New Roman" w:hAnsi="Calibri" w:cs="Calibri"/>
                <w:color w:val="000000"/>
                <w:sz w:val="16"/>
                <w:szCs w:val="16"/>
                <w:lang w:val="en-US" w:eastAsia="it-IT"/>
              </w:rPr>
              <w:t>communications</w:t>
            </w:r>
            <w:proofErr w:type="gramEnd"/>
            <w:r w:rsidRPr="00B24FB8">
              <w:rPr>
                <w:rFonts w:ascii="Calibri" w:eastAsia="Times New Roman" w:hAnsi="Calibri" w:cs="Calibri"/>
                <w:color w:val="000000"/>
                <w:sz w:val="16"/>
                <w:szCs w:val="16"/>
                <w:lang w:val="en-US" w:eastAsia="it-IT"/>
              </w:rPr>
              <w:t xml:space="preserve"> and supplementary immunization, including door-to-door initiatives, such as checking of immunization cards, distribution of information materials (in native languages) and vaccination campaigns</w:t>
            </w:r>
          </w:p>
        </w:tc>
        <w:tc>
          <w:tcPr>
            <w:tcW w:w="0" w:type="auto"/>
            <w:tcBorders>
              <w:top w:val="nil"/>
              <w:left w:val="nil"/>
              <w:bottom w:val="single" w:sz="4" w:space="0" w:color="auto"/>
              <w:right w:val="single" w:sz="4" w:space="0" w:color="auto"/>
            </w:tcBorders>
            <w:shd w:val="clear" w:color="auto" w:fill="auto"/>
            <w:hideMark/>
          </w:tcPr>
          <w:p w14:paraId="47EEFBA1"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NAMs for immunizations depends on:</w:t>
            </w:r>
            <w:r w:rsidRPr="00B24FB8">
              <w:rPr>
                <w:rFonts w:ascii="Calibri" w:eastAsia="Times New Roman" w:hAnsi="Calibri" w:cs="Calibri"/>
                <w:color w:val="000000"/>
                <w:sz w:val="16"/>
                <w:szCs w:val="16"/>
                <w:lang w:val="en-US" w:eastAsia="it-IT"/>
              </w:rPr>
              <w:br/>
              <w:t>● Migrant status: asylum seekers can be easily reached in reception centers, when first entering the country.</w:t>
            </w:r>
            <w:r w:rsidRPr="00B24FB8">
              <w:rPr>
                <w:rFonts w:ascii="Calibri" w:eastAsia="Times New Roman" w:hAnsi="Calibri" w:cs="Calibri"/>
                <w:color w:val="000000"/>
                <w:sz w:val="16"/>
                <w:szCs w:val="16"/>
                <w:lang w:val="en-US" w:eastAsia="it-IT"/>
              </w:rPr>
              <w:br/>
              <w:t>● Age of NAMs: children can be reached through schools, as certain vaccinations are mandatory/encouraged when enrolling in schools.</w:t>
            </w:r>
            <w:r w:rsidRPr="00B24FB8">
              <w:rPr>
                <w:rFonts w:ascii="Calibri" w:eastAsia="Times New Roman" w:hAnsi="Calibri" w:cs="Calibri"/>
                <w:color w:val="000000"/>
                <w:sz w:val="16"/>
                <w:szCs w:val="16"/>
                <w:lang w:val="en-US" w:eastAsia="it-IT"/>
              </w:rPr>
              <w:br/>
              <w:t>● Gender: female NAMs can be reached and informed about vaccinations (infant, child and adult vaccination) through gynecological/maternity visits and reproductive clinics/ programs.</w:t>
            </w:r>
            <w:r w:rsidRPr="00B24FB8">
              <w:rPr>
                <w:rFonts w:ascii="Calibri" w:eastAsia="Times New Roman" w:hAnsi="Calibri" w:cs="Calibri"/>
                <w:color w:val="000000"/>
                <w:sz w:val="16"/>
                <w:szCs w:val="16"/>
                <w:lang w:val="en-US" w:eastAsia="it-IT"/>
              </w:rPr>
              <w:br/>
              <w:t>- There is need for development of proximity strategies based on best practices in each country:</w:t>
            </w:r>
            <w:r w:rsidRPr="00B24FB8">
              <w:rPr>
                <w:rFonts w:ascii="Calibri" w:eastAsia="Times New Roman" w:hAnsi="Calibri" w:cs="Calibri"/>
                <w:color w:val="000000"/>
                <w:sz w:val="16"/>
                <w:szCs w:val="16"/>
                <w:lang w:val="en-US" w:eastAsia="it-IT"/>
              </w:rPr>
              <w:br/>
              <w:t>● Germany: need to develop closer collaboration among public policy officials and NGOs</w:t>
            </w:r>
            <w:r w:rsidRPr="00B24FB8">
              <w:rPr>
                <w:rFonts w:ascii="Calibri" w:eastAsia="Times New Roman" w:hAnsi="Calibri" w:cs="Calibri"/>
                <w:color w:val="000000"/>
                <w:sz w:val="16"/>
                <w:szCs w:val="16"/>
                <w:lang w:val="en-US" w:eastAsia="it-IT"/>
              </w:rPr>
              <w:br/>
              <w:t>● Greece: information and sensitization of the particular population about vaccinations is an important milestone towards their compliance, and the continuation of vaccination on their own free will.</w:t>
            </w:r>
            <w:r w:rsidRPr="00B24FB8">
              <w:rPr>
                <w:rFonts w:ascii="Calibri" w:eastAsia="Times New Roman" w:hAnsi="Calibri" w:cs="Calibri"/>
                <w:color w:val="000000"/>
                <w:sz w:val="16"/>
                <w:szCs w:val="16"/>
                <w:lang w:val="en-US" w:eastAsia="it-IT"/>
              </w:rPr>
              <w:br/>
              <w:t xml:space="preserve">● Italy: regarding proximity strategies, it is important to focus on the construction of “vaccination pathways” and not only on the provision of single services. Moreover, all sectors of the health system (even administration and registration) that </w:t>
            </w:r>
            <w:proofErr w:type="gramStart"/>
            <w:r w:rsidRPr="00B24FB8">
              <w:rPr>
                <w:rFonts w:ascii="Calibri" w:eastAsia="Times New Roman" w:hAnsi="Calibri" w:cs="Calibri"/>
                <w:color w:val="000000"/>
                <w:sz w:val="16"/>
                <w:szCs w:val="16"/>
                <w:lang w:val="en-US" w:eastAsia="it-IT"/>
              </w:rPr>
              <w:t>come into contact with</w:t>
            </w:r>
            <w:proofErr w:type="gramEnd"/>
            <w:r w:rsidRPr="00B24FB8">
              <w:rPr>
                <w:rFonts w:ascii="Calibri" w:eastAsia="Times New Roman" w:hAnsi="Calibri" w:cs="Calibri"/>
                <w:color w:val="000000"/>
                <w:sz w:val="16"/>
                <w:szCs w:val="16"/>
                <w:lang w:val="en-US" w:eastAsia="it-IT"/>
              </w:rPr>
              <w:t xml:space="preserve"> NAMs, should be able to promote and encourage immunization. Vaccination mandates could also be extended beyond schools, to other organizations such as the police, labor offices etc. that could require evidence of vaccinations.</w:t>
            </w:r>
            <w:r w:rsidRPr="00B24FB8">
              <w:rPr>
                <w:rFonts w:ascii="Calibri" w:eastAsia="Times New Roman" w:hAnsi="Calibri" w:cs="Calibri"/>
                <w:color w:val="000000"/>
                <w:sz w:val="16"/>
                <w:szCs w:val="16"/>
                <w:lang w:val="en-US" w:eastAsia="it-IT"/>
              </w:rPr>
              <w:br/>
              <w:t>● Cyprus: the involvement of health visitors and nursing personnel in informing NAMs about immunization after receiving training on cultural competence.</w:t>
            </w:r>
            <w:r w:rsidRPr="00B24FB8">
              <w:rPr>
                <w:rFonts w:ascii="Calibri" w:eastAsia="Times New Roman" w:hAnsi="Calibri" w:cs="Calibri"/>
                <w:color w:val="000000"/>
                <w:sz w:val="16"/>
                <w:szCs w:val="16"/>
                <w:lang w:val="en-US" w:eastAsia="it-IT"/>
              </w:rPr>
              <w:br/>
              <w:t xml:space="preserve">● Poland: adequate, culturally competent and easily accessible information provided to NAMs about vaccinations </w:t>
            </w:r>
            <w:proofErr w:type="gramStart"/>
            <w:r w:rsidRPr="00B24FB8">
              <w:rPr>
                <w:rFonts w:ascii="Calibri" w:eastAsia="Times New Roman" w:hAnsi="Calibri" w:cs="Calibri"/>
                <w:color w:val="000000"/>
                <w:sz w:val="16"/>
                <w:szCs w:val="16"/>
                <w:lang w:val="en-US" w:eastAsia="it-IT"/>
              </w:rPr>
              <w:t>i.e.</w:t>
            </w:r>
            <w:proofErr w:type="gramEnd"/>
            <w:r w:rsidRPr="00B24FB8">
              <w:rPr>
                <w:rFonts w:ascii="Calibri" w:eastAsia="Times New Roman" w:hAnsi="Calibri" w:cs="Calibri"/>
                <w:color w:val="000000"/>
                <w:sz w:val="16"/>
                <w:szCs w:val="16"/>
                <w:lang w:val="en-US" w:eastAsia="it-IT"/>
              </w:rPr>
              <w:t xml:space="preserve"> translated leaflets, materials, and information sessions.</w:t>
            </w:r>
          </w:p>
        </w:tc>
      </w:tr>
      <w:tr w:rsidR="008E57CF" w:rsidRPr="00B24FB8" w14:paraId="64FB7684" w14:textId="77777777" w:rsidTr="00F94946">
        <w:trPr>
          <w:trHeight w:val="844"/>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26482E27"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it-IT" w:eastAsia="it-IT"/>
              </w:rPr>
            </w:pPr>
            <w:proofErr w:type="spellStart"/>
            <w:r w:rsidRPr="00B24FB8">
              <w:rPr>
                <w:rFonts w:ascii="Arial" w:eastAsia="Times New Roman" w:hAnsi="Arial" w:cs="Arial"/>
                <w:b/>
                <w:bCs/>
                <w:color w:val="000000"/>
                <w:sz w:val="16"/>
                <w:szCs w:val="16"/>
                <w:lang w:val="it-IT" w:eastAsia="it-IT"/>
              </w:rPr>
              <w:t>Adherence</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A1F4996"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r w:rsidRPr="00B24FB8">
              <w:rPr>
                <w:rFonts w:ascii="Arial" w:eastAsia="Times New Roman" w:hAnsi="Arial" w:cs="Arial"/>
                <w:color w:val="000000"/>
                <w:sz w:val="16"/>
                <w:szCs w:val="16"/>
                <w:lang w:val="it-IT" w:eastAsia="it-IT"/>
              </w:rPr>
              <w:t>Legal</w:t>
            </w:r>
          </w:p>
        </w:tc>
        <w:tc>
          <w:tcPr>
            <w:tcW w:w="0" w:type="auto"/>
            <w:tcBorders>
              <w:top w:val="nil"/>
              <w:left w:val="nil"/>
              <w:bottom w:val="single" w:sz="4" w:space="0" w:color="auto"/>
              <w:right w:val="single" w:sz="4" w:space="0" w:color="auto"/>
            </w:tcBorders>
            <w:shd w:val="clear" w:color="auto" w:fill="auto"/>
            <w:hideMark/>
          </w:tcPr>
          <w:p w14:paraId="5D56DAE7"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6818C0D5"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Reporting undocumented migrants to immigration authorities and, more in general policies of other government sectors (such as immigration, </w:t>
            </w:r>
            <w:proofErr w:type="gramStart"/>
            <w:r w:rsidRPr="00B24FB8">
              <w:rPr>
                <w:rFonts w:ascii="Calibri" w:eastAsia="Times New Roman" w:hAnsi="Calibri" w:cs="Calibri"/>
                <w:color w:val="000000"/>
                <w:sz w:val="16"/>
                <w:szCs w:val="16"/>
                <w:lang w:val="en-US" w:eastAsia="it-IT"/>
              </w:rPr>
              <w:t>justice</w:t>
            </w:r>
            <w:proofErr w:type="gramEnd"/>
            <w:r w:rsidRPr="00B24FB8">
              <w:rPr>
                <w:rFonts w:ascii="Calibri" w:eastAsia="Times New Roman" w:hAnsi="Calibri" w:cs="Calibri"/>
                <w:color w:val="000000"/>
                <w:sz w:val="16"/>
                <w:szCs w:val="16"/>
                <w:lang w:val="en-US" w:eastAsia="it-IT"/>
              </w:rPr>
              <w:t xml:space="preserve"> or interior and home affairs) on deportation of irregular migrants also influence </w:t>
            </w:r>
            <w:proofErr w:type="spellStart"/>
            <w:r w:rsidRPr="00B24FB8">
              <w:rPr>
                <w:rFonts w:ascii="Calibri" w:eastAsia="Times New Roman" w:hAnsi="Calibri" w:cs="Calibri"/>
                <w:color w:val="000000"/>
                <w:sz w:val="16"/>
                <w:szCs w:val="16"/>
                <w:lang w:val="en-US" w:eastAsia="it-IT"/>
              </w:rPr>
              <w:t>utilisation</w:t>
            </w:r>
            <w:proofErr w:type="spellEnd"/>
            <w:r w:rsidRPr="00B24FB8">
              <w:rPr>
                <w:rFonts w:ascii="Calibri" w:eastAsia="Times New Roman" w:hAnsi="Calibri" w:cs="Calibri"/>
                <w:color w:val="000000"/>
                <w:sz w:val="16"/>
                <w:szCs w:val="16"/>
                <w:lang w:val="en-US" w:eastAsia="it-IT"/>
              </w:rPr>
              <w:t xml:space="preserve"> of vaccination services by refugee and migrant groups</w:t>
            </w:r>
          </w:p>
        </w:tc>
        <w:tc>
          <w:tcPr>
            <w:tcW w:w="0" w:type="auto"/>
            <w:tcBorders>
              <w:top w:val="nil"/>
              <w:left w:val="nil"/>
              <w:bottom w:val="single" w:sz="4" w:space="0" w:color="auto"/>
              <w:right w:val="single" w:sz="4" w:space="0" w:color="auto"/>
            </w:tcBorders>
            <w:shd w:val="clear" w:color="auto" w:fill="auto"/>
            <w:hideMark/>
          </w:tcPr>
          <w:p w14:paraId="18AAA152"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Nothing relevant among key findings from qualitative research</w:t>
            </w:r>
          </w:p>
        </w:tc>
      </w:tr>
      <w:tr w:rsidR="008E57CF" w:rsidRPr="00B24FB8" w14:paraId="06FFB12B" w14:textId="77777777" w:rsidTr="00F94946">
        <w:trPr>
          <w:trHeight w:val="856"/>
        </w:trPr>
        <w:tc>
          <w:tcPr>
            <w:tcW w:w="0" w:type="auto"/>
            <w:vMerge/>
            <w:tcBorders>
              <w:top w:val="nil"/>
              <w:left w:val="single" w:sz="4" w:space="0" w:color="auto"/>
              <w:bottom w:val="single" w:sz="4" w:space="0" w:color="auto"/>
              <w:right w:val="single" w:sz="4" w:space="0" w:color="auto"/>
            </w:tcBorders>
            <w:vAlign w:val="center"/>
            <w:hideMark/>
          </w:tcPr>
          <w:p w14:paraId="1DFE9AD8"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4B8711BB"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17C014CB"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3EEA6BC4"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Setting up vaccination </w:t>
            </w:r>
            <w:proofErr w:type="spellStart"/>
            <w:r w:rsidRPr="00B24FB8">
              <w:rPr>
                <w:rFonts w:ascii="Calibri" w:eastAsia="Times New Roman" w:hAnsi="Calibri" w:cs="Calibri"/>
                <w:color w:val="000000"/>
                <w:sz w:val="16"/>
                <w:szCs w:val="16"/>
                <w:lang w:val="en-US" w:eastAsia="it-IT"/>
              </w:rPr>
              <w:t>centres</w:t>
            </w:r>
            <w:proofErr w:type="spellEnd"/>
            <w:r w:rsidRPr="00B24FB8">
              <w:rPr>
                <w:rFonts w:ascii="Calibri" w:eastAsia="Times New Roman" w:hAnsi="Calibri" w:cs="Calibri"/>
                <w:color w:val="000000"/>
                <w:sz w:val="16"/>
                <w:szCs w:val="16"/>
                <w:lang w:val="en-US" w:eastAsia="it-IT"/>
              </w:rPr>
              <w:t xml:space="preserve"> that do not require formal identification</w:t>
            </w:r>
            <w:r w:rsidRPr="00B24FB8">
              <w:rPr>
                <w:rFonts w:ascii="Calibri" w:eastAsia="Times New Roman" w:hAnsi="Calibri" w:cs="Calibri"/>
                <w:color w:val="000000"/>
                <w:sz w:val="16"/>
                <w:szCs w:val="16"/>
                <w:lang w:val="en-US" w:eastAsia="it-IT"/>
              </w:rPr>
              <w:br/>
              <w:t>- Coordination among governmental agencies from health and immigration sectors will be needed to ensure vaccination programs are not used by immigration authorities for tracking or enforcement</w:t>
            </w:r>
          </w:p>
        </w:tc>
        <w:tc>
          <w:tcPr>
            <w:tcW w:w="0" w:type="auto"/>
            <w:tcBorders>
              <w:top w:val="nil"/>
              <w:left w:val="nil"/>
              <w:bottom w:val="single" w:sz="4" w:space="0" w:color="auto"/>
              <w:right w:val="single" w:sz="4" w:space="0" w:color="auto"/>
            </w:tcBorders>
            <w:shd w:val="clear" w:color="auto" w:fill="auto"/>
            <w:hideMark/>
          </w:tcPr>
          <w:p w14:paraId="423504A3"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Nothing relevant among key findings from qualitative research</w:t>
            </w:r>
          </w:p>
        </w:tc>
      </w:tr>
      <w:tr w:rsidR="008E57CF" w:rsidRPr="00B24FB8" w14:paraId="025A983A" w14:textId="77777777" w:rsidTr="00F94946">
        <w:trPr>
          <w:trHeight w:val="1110"/>
        </w:trPr>
        <w:tc>
          <w:tcPr>
            <w:tcW w:w="0" w:type="auto"/>
            <w:vMerge/>
            <w:tcBorders>
              <w:top w:val="nil"/>
              <w:left w:val="single" w:sz="4" w:space="0" w:color="auto"/>
              <w:bottom w:val="single" w:sz="4" w:space="0" w:color="auto"/>
              <w:right w:val="single" w:sz="4" w:space="0" w:color="auto"/>
            </w:tcBorders>
            <w:vAlign w:val="center"/>
            <w:hideMark/>
          </w:tcPr>
          <w:p w14:paraId="1A3C6AD5"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ADB274D"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proofErr w:type="spellStart"/>
            <w:r w:rsidRPr="00B24FB8">
              <w:rPr>
                <w:rFonts w:ascii="Arial" w:eastAsia="Times New Roman" w:hAnsi="Arial" w:cs="Arial"/>
                <w:color w:val="000000"/>
                <w:sz w:val="16"/>
                <w:szCs w:val="16"/>
                <w:lang w:val="it-IT" w:eastAsia="it-IT"/>
              </w:rPr>
              <w:t>Economic</w:t>
            </w:r>
            <w:proofErr w:type="spellEnd"/>
          </w:p>
        </w:tc>
        <w:tc>
          <w:tcPr>
            <w:tcW w:w="0" w:type="auto"/>
            <w:tcBorders>
              <w:top w:val="nil"/>
              <w:left w:val="nil"/>
              <w:bottom w:val="single" w:sz="4" w:space="0" w:color="auto"/>
              <w:right w:val="single" w:sz="4" w:space="0" w:color="auto"/>
            </w:tcBorders>
            <w:shd w:val="clear" w:color="auto" w:fill="auto"/>
            <w:hideMark/>
          </w:tcPr>
          <w:p w14:paraId="647F781B"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092F9A6C"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In some host countries, migrant groups have experienced delays in access to care, and therefore low vaccination rates, due to inability to pay for care and vaccines.</w:t>
            </w:r>
            <w:r w:rsidRPr="00B24FB8">
              <w:rPr>
                <w:rFonts w:ascii="Calibri" w:eastAsia="Times New Roman" w:hAnsi="Calibri" w:cs="Calibri"/>
                <w:color w:val="000000"/>
                <w:sz w:val="16"/>
                <w:szCs w:val="16"/>
                <w:lang w:val="en-US" w:eastAsia="it-IT"/>
              </w:rPr>
              <w:br/>
              <w:t>- Direct health costs and additional external costs associated with seeking care can dissuade migrants from asking for vaccination</w:t>
            </w:r>
          </w:p>
        </w:tc>
        <w:tc>
          <w:tcPr>
            <w:tcW w:w="0" w:type="auto"/>
            <w:tcBorders>
              <w:top w:val="nil"/>
              <w:left w:val="nil"/>
              <w:bottom w:val="single" w:sz="4" w:space="0" w:color="auto"/>
              <w:right w:val="single" w:sz="4" w:space="0" w:color="auto"/>
            </w:tcBorders>
            <w:shd w:val="clear" w:color="auto" w:fill="auto"/>
            <w:hideMark/>
          </w:tcPr>
          <w:p w14:paraId="0243E952"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Nothing relevant among key findings from qualitative research</w:t>
            </w:r>
          </w:p>
        </w:tc>
      </w:tr>
      <w:tr w:rsidR="008E57CF" w:rsidRPr="00B24FB8" w14:paraId="24D575F9" w14:textId="77777777" w:rsidTr="00F94946">
        <w:trPr>
          <w:trHeight w:val="839"/>
        </w:trPr>
        <w:tc>
          <w:tcPr>
            <w:tcW w:w="0" w:type="auto"/>
            <w:vMerge/>
            <w:tcBorders>
              <w:top w:val="nil"/>
              <w:left w:val="single" w:sz="4" w:space="0" w:color="auto"/>
              <w:bottom w:val="single" w:sz="4" w:space="0" w:color="auto"/>
              <w:right w:val="single" w:sz="4" w:space="0" w:color="auto"/>
            </w:tcBorders>
            <w:vAlign w:val="center"/>
            <w:hideMark/>
          </w:tcPr>
          <w:p w14:paraId="688EADB4"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44AAD1EA"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6843D60C"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0D77749C"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Health system should ensure that migrants and refugees benefit from easy access to the vaccines offered free of charge under the national vaccination schedule. The integration of free or affordable vaccination services would be more effective in increasing the participation of hard-to-reach communities.</w:t>
            </w:r>
          </w:p>
        </w:tc>
        <w:tc>
          <w:tcPr>
            <w:tcW w:w="0" w:type="auto"/>
            <w:tcBorders>
              <w:top w:val="nil"/>
              <w:left w:val="nil"/>
              <w:bottom w:val="single" w:sz="4" w:space="0" w:color="auto"/>
              <w:right w:val="single" w:sz="4" w:space="0" w:color="auto"/>
            </w:tcBorders>
            <w:shd w:val="clear" w:color="auto" w:fill="auto"/>
            <w:hideMark/>
          </w:tcPr>
          <w:p w14:paraId="3AC14DE1"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Nothing relevant among key findings from qualitative research</w:t>
            </w:r>
          </w:p>
        </w:tc>
      </w:tr>
      <w:tr w:rsidR="008E57CF" w:rsidRPr="00B24FB8" w14:paraId="7CDF664B" w14:textId="77777777" w:rsidTr="00F94946">
        <w:trPr>
          <w:trHeight w:val="3264"/>
        </w:trPr>
        <w:tc>
          <w:tcPr>
            <w:tcW w:w="0" w:type="auto"/>
            <w:vMerge/>
            <w:tcBorders>
              <w:top w:val="nil"/>
              <w:left w:val="single" w:sz="4" w:space="0" w:color="auto"/>
              <w:bottom w:val="single" w:sz="4" w:space="0" w:color="auto"/>
              <w:right w:val="single" w:sz="4" w:space="0" w:color="auto"/>
            </w:tcBorders>
            <w:vAlign w:val="center"/>
            <w:hideMark/>
          </w:tcPr>
          <w:p w14:paraId="2C1BA501"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B95DF25"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proofErr w:type="spellStart"/>
            <w:r w:rsidRPr="00B24FB8">
              <w:rPr>
                <w:rFonts w:ascii="Arial" w:eastAsia="Times New Roman" w:hAnsi="Arial" w:cs="Arial"/>
                <w:color w:val="000000"/>
                <w:sz w:val="16"/>
                <w:szCs w:val="16"/>
                <w:lang w:val="it-IT" w:eastAsia="it-IT"/>
              </w:rPr>
              <w:t>Organizational</w:t>
            </w:r>
            <w:proofErr w:type="spellEnd"/>
          </w:p>
        </w:tc>
        <w:tc>
          <w:tcPr>
            <w:tcW w:w="0" w:type="auto"/>
            <w:tcBorders>
              <w:top w:val="nil"/>
              <w:left w:val="nil"/>
              <w:bottom w:val="single" w:sz="4" w:space="0" w:color="auto"/>
              <w:right w:val="single" w:sz="4" w:space="0" w:color="auto"/>
            </w:tcBorders>
            <w:shd w:val="clear" w:color="auto" w:fill="auto"/>
            <w:hideMark/>
          </w:tcPr>
          <w:p w14:paraId="7F9E68BA"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7B24A30D" w14:textId="77777777" w:rsidR="00B24FB8" w:rsidRPr="00B24FB8" w:rsidRDefault="00B24FB8" w:rsidP="00F94946">
            <w:pPr>
              <w:spacing w:after="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Health professionals may lack awareness and experience in providing (correct) advice on health care and vaccination for refugees and migrants</w:t>
            </w:r>
            <w:r w:rsidRPr="00B24FB8">
              <w:rPr>
                <w:rFonts w:ascii="Calibri" w:eastAsia="Times New Roman" w:hAnsi="Calibri" w:cs="Calibri"/>
                <w:color w:val="000000"/>
                <w:sz w:val="16"/>
                <w:szCs w:val="16"/>
                <w:lang w:val="en-US" w:eastAsia="it-IT"/>
              </w:rPr>
              <w:br/>
              <w:t xml:space="preserve">- </w:t>
            </w:r>
            <w:proofErr w:type="spellStart"/>
            <w:r w:rsidRPr="00B24FB8">
              <w:rPr>
                <w:rFonts w:ascii="Calibri" w:eastAsia="Times New Roman" w:hAnsi="Calibri" w:cs="Calibri"/>
                <w:color w:val="000000"/>
                <w:sz w:val="16"/>
                <w:szCs w:val="16"/>
                <w:lang w:val="en-US" w:eastAsia="it-IT"/>
              </w:rPr>
              <w:t>Decentralised</w:t>
            </w:r>
            <w:proofErr w:type="spellEnd"/>
            <w:r w:rsidRPr="00B24FB8">
              <w:rPr>
                <w:rFonts w:ascii="Calibri" w:eastAsia="Times New Roman" w:hAnsi="Calibri" w:cs="Calibri"/>
                <w:color w:val="000000"/>
                <w:sz w:val="16"/>
                <w:szCs w:val="16"/>
                <w:lang w:val="en-US" w:eastAsia="it-IT"/>
              </w:rPr>
              <w:t xml:space="preserve"> health systems and lack of coordination among local authorities and international stakeholders may have disproportionate negative effects on refugees and migrants;</w:t>
            </w:r>
            <w:r w:rsidRPr="00B24FB8">
              <w:rPr>
                <w:rFonts w:ascii="Calibri" w:eastAsia="Times New Roman" w:hAnsi="Calibri" w:cs="Calibri"/>
                <w:color w:val="000000"/>
                <w:sz w:val="16"/>
                <w:szCs w:val="16"/>
                <w:lang w:val="en-US" w:eastAsia="it-IT"/>
              </w:rPr>
              <w:br/>
              <w:t>- In some host countries (i.e. UK) migrants groups face barriers to access to primary care and vaccinations due to lack of access points;</w:t>
            </w:r>
            <w:r w:rsidRPr="00B24FB8">
              <w:rPr>
                <w:rFonts w:ascii="Calibri" w:eastAsia="Times New Roman" w:hAnsi="Calibri" w:cs="Calibri"/>
                <w:color w:val="000000"/>
                <w:sz w:val="16"/>
                <w:szCs w:val="16"/>
                <w:lang w:val="en-US" w:eastAsia="it-IT"/>
              </w:rPr>
              <w:br/>
              <w:t xml:space="preserve">- Transportation issues are observed to be other barriers to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br/>
              <w:t>- Registration through dedicated (online) systems are often required prior to vaccination, which can be confusing, and which often also imply other barriers (technological requirements, language barriers, fear of tracking tools that may lead to arrest or deportation)</w:t>
            </w:r>
          </w:p>
        </w:tc>
        <w:tc>
          <w:tcPr>
            <w:tcW w:w="0" w:type="auto"/>
            <w:tcBorders>
              <w:top w:val="nil"/>
              <w:left w:val="nil"/>
              <w:bottom w:val="single" w:sz="4" w:space="0" w:color="auto"/>
              <w:right w:val="single" w:sz="4" w:space="0" w:color="auto"/>
            </w:tcBorders>
            <w:shd w:val="clear" w:color="auto" w:fill="auto"/>
            <w:hideMark/>
          </w:tcPr>
          <w:p w14:paraId="479010C0"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Nothing relevant among key findings from qualitative research</w:t>
            </w:r>
          </w:p>
        </w:tc>
      </w:tr>
      <w:tr w:rsidR="008E57CF" w:rsidRPr="00B24FB8" w14:paraId="24F73994" w14:textId="77777777" w:rsidTr="00F94946">
        <w:trPr>
          <w:trHeight w:val="8184"/>
        </w:trPr>
        <w:tc>
          <w:tcPr>
            <w:tcW w:w="0" w:type="auto"/>
            <w:vMerge/>
            <w:tcBorders>
              <w:top w:val="nil"/>
              <w:left w:val="single" w:sz="4" w:space="0" w:color="auto"/>
              <w:bottom w:val="single" w:sz="4" w:space="0" w:color="auto"/>
              <w:right w:val="single" w:sz="4" w:space="0" w:color="auto"/>
            </w:tcBorders>
            <w:vAlign w:val="center"/>
            <w:hideMark/>
          </w:tcPr>
          <w:p w14:paraId="21645591"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21335B24"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4A3C4826"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05A8AC01"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w:t>
            </w:r>
            <w:proofErr w:type="spellStart"/>
            <w:r w:rsidRPr="00B24FB8">
              <w:rPr>
                <w:rFonts w:ascii="Calibri" w:eastAsia="Times New Roman" w:hAnsi="Calibri" w:cs="Calibri"/>
                <w:color w:val="000000"/>
                <w:sz w:val="16"/>
                <w:szCs w:val="16"/>
                <w:lang w:val="en-US" w:eastAsia="it-IT"/>
              </w:rPr>
              <w:t>Organisational</w:t>
            </w:r>
            <w:proofErr w:type="spellEnd"/>
            <w:r w:rsidRPr="00B24FB8">
              <w:rPr>
                <w:rFonts w:ascii="Calibri" w:eastAsia="Times New Roman" w:hAnsi="Calibri" w:cs="Calibri"/>
                <w:color w:val="000000"/>
                <w:sz w:val="16"/>
                <w:szCs w:val="16"/>
                <w:lang w:val="en-US" w:eastAsia="it-IT"/>
              </w:rPr>
              <w:t xml:space="preserve"> solutions proposed are focused on </w:t>
            </w:r>
            <w:r w:rsidRPr="00B24FB8">
              <w:rPr>
                <w:rFonts w:ascii="Calibri" w:eastAsia="Times New Roman" w:hAnsi="Calibri" w:cs="Calibri"/>
                <w:color w:val="000000"/>
                <w:sz w:val="16"/>
                <w:szCs w:val="16"/>
                <w:lang w:val="en-US" w:eastAsia="it-IT"/>
              </w:rPr>
              <w:br/>
              <w:t xml:space="preserve">● tailoring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services </w:t>
            </w:r>
            <w:r w:rsidRPr="00B24FB8">
              <w:rPr>
                <w:rFonts w:ascii="Calibri" w:eastAsia="Times New Roman" w:hAnsi="Calibri" w:cs="Calibri"/>
                <w:color w:val="000000"/>
                <w:sz w:val="16"/>
                <w:szCs w:val="16"/>
                <w:lang w:val="en-US" w:eastAsia="it-IT"/>
              </w:rPr>
              <w:br/>
              <w:t xml:space="preserve">● strengthening communication and social </w:t>
            </w:r>
            <w:proofErr w:type="spellStart"/>
            <w:r w:rsidRPr="00B24FB8">
              <w:rPr>
                <w:rFonts w:ascii="Calibri" w:eastAsia="Times New Roman" w:hAnsi="Calibri" w:cs="Calibri"/>
                <w:color w:val="000000"/>
                <w:sz w:val="16"/>
                <w:szCs w:val="16"/>
                <w:lang w:val="en-US" w:eastAsia="it-IT"/>
              </w:rPr>
              <w:t>mobilisation</w:t>
            </w:r>
            <w:proofErr w:type="spellEnd"/>
            <w:r w:rsidRPr="00B24FB8">
              <w:rPr>
                <w:rFonts w:ascii="Calibri" w:eastAsia="Times New Roman" w:hAnsi="Calibri" w:cs="Calibri"/>
                <w:color w:val="000000"/>
                <w:sz w:val="16"/>
                <w:szCs w:val="16"/>
                <w:lang w:val="en-US" w:eastAsia="it-IT"/>
              </w:rPr>
              <w:t xml:space="preserve"> toward specific population targets</w:t>
            </w:r>
            <w:r w:rsidRPr="00B24FB8">
              <w:rPr>
                <w:rFonts w:ascii="Calibri" w:eastAsia="Times New Roman" w:hAnsi="Calibri" w:cs="Calibri"/>
                <w:color w:val="000000"/>
                <w:sz w:val="16"/>
                <w:szCs w:val="16"/>
                <w:lang w:val="en-US" w:eastAsia="it-IT"/>
              </w:rPr>
              <w:br/>
              <w:t>● developing proximity approaches and the use of bus as mobile clinic buses</w:t>
            </w:r>
            <w:r w:rsidRPr="00B24FB8">
              <w:rPr>
                <w:rFonts w:ascii="Calibri" w:eastAsia="Times New Roman" w:hAnsi="Calibri" w:cs="Calibri"/>
                <w:color w:val="000000"/>
                <w:sz w:val="16"/>
                <w:szCs w:val="16"/>
                <w:lang w:val="en-US" w:eastAsia="it-IT"/>
              </w:rPr>
              <w:br/>
              <w:t>● actively engaging with affected communities</w:t>
            </w:r>
            <w:r w:rsidRPr="00B24FB8">
              <w:rPr>
                <w:rFonts w:ascii="Calibri" w:eastAsia="Times New Roman" w:hAnsi="Calibri" w:cs="Calibri"/>
                <w:color w:val="000000"/>
                <w:sz w:val="16"/>
                <w:szCs w:val="16"/>
                <w:lang w:val="en-US" w:eastAsia="it-IT"/>
              </w:rPr>
              <w:br/>
              <w:t>- Strengthen collaborations with local government, relevant charities and community groups, civil society groups, social care services, public health teams and health professionals to develop engagement strategies with migrant communities.</w:t>
            </w:r>
          </w:p>
        </w:tc>
        <w:tc>
          <w:tcPr>
            <w:tcW w:w="0" w:type="auto"/>
            <w:tcBorders>
              <w:top w:val="nil"/>
              <w:left w:val="nil"/>
              <w:bottom w:val="single" w:sz="4" w:space="0" w:color="auto"/>
              <w:right w:val="single" w:sz="4" w:space="0" w:color="auto"/>
            </w:tcBorders>
            <w:shd w:val="clear" w:color="auto" w:fill="auto"/>
            <w:hideMark/>
          </w:tcPr>
          <w:p w14:paraId="32DB5FCE"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Developing synergies between NGOs active in the field and public organizations responsible for NAMs vaccination, i.e. in Greece information sessions are usually organized by NGOs active in the field, with the assistance and cooperation of the social services of camps/ reception centers that are more familiar with beneficiaries and can inform them accordingly; in Germany NGOs are linked to a specific contact person at state level, and therefore vaccination efforts of migrants run smoothly.</w:t>
            </w:r>
            <w:r w:rsidRPr="00B24FB8">
              <w:rPr>
                <w:rFonts w:ascii="Calibri" w:eastAsia="Times New Roman" w:hAnsi="Calibri" w:cs="Calibri"/>
                <w:color w:val="000000"/>
                <w:sz w:val="16"/>
                <w:szCs w:val="16"/>
                <w:lang w:val="en-US" w:eastAsia="it-IT"/>
              </w:rPr>
              <w:br/>
              <w:t xml:space="preserve">- Organizing and implementing information sessions with community leaders about the importance of specific vaccines. It seems that community leaders have an important impact on beneficiaries and affect adherence (vs hesitancy) to vaccination. </w:t>
            </w:r>
            <w:r w:rsidRPr="00B24FB8">
              <w:rPr>
                <w:rFonts w:ascii="Calibri" w:eastAsia="Times New Roman" w:hAnsi="Calibri" w:cs="Calibri"/>
                <w:color w:val="000000"/>
                <w:sz w:val="16"/>
                <w:szCs w:val="16"/>
                <w:lang w:val="en-US" w:eastAsia="it-IT"/>
              </w:rPr>
              <w:br/>
              <w:t>- Use of mobile units or “mobile vaccination busses”</w:t>
            </w:r>
            <w:r w:rsidRPr="00B24FB8">
              <w:rPr>
                <w:rFonts w:ascii="Calibri" w:eastAsia="Times New Roman" w:hAnsi="Calibri" w:cs="Calibri"/>
                <w:color w:val="000000"/>
                <w:sz w:val="16"/>
                <w:szCs w:val="16"/>
                <w:lang w:val="en-US" w:eastAsia="it-IT"/>
              </w:rPr>
              <w:br/>
              <w:t>- Progressively involve all members of a household in vaccinations. Starting usually from the child reach out to other members so progressively involving all the family members in vaccinations.</w:t>
            </w:r>
            <w:r w:rsidRPr="00B24FB8">
              <w:rPr>
                <w:rFonts w:ascii="Calibri" w:eastAsia="Times New Roman" w:hAnsi="Calibri" w:cs="Calibri"/>
                <w:color w:val="000000"/>
                <w:sz w:val="16"/>
                <w:szCs w:val="16"/>
                <w:lang w:val="en-US" w:eastAsia="it-IT"/>
              </w:rPr>
              <w:br/>
              <w:t>- Providing assistance / support during actual vaccination</w:t>
            </w:r>
            <w:r w:rsidRPr="00B24FB8">
              <w:rPr>
                <w:rFonts w:ascii="Calibri" w:eastAsia="Times New Roman" w:hAnsi="Calibri" w:cs="Calibri"/>
                <w:color w:val="000000"/>
                <w:sz w:val="16"/>
                <w:szCs w:val="16"/>
                <w:lang w:val="en-US" w:eastAsia="it-IT"/>
              </w:rPr>
              <w:br/>
              <w:t>● For vaccinations taking place in camps (e.g. mobile units or vaccines performed by medical services inside camps), health professionals suggest the following best practices in combination or individually: (a) door-to-door visits in order to inform beneficiaries about the upcoming vaccination, (b) a note on their door about the day and time of the event, (c) sending mobile messages (</w:t>
            </w:r>
            <w:proofErr w:type="spellStart"/>
            <w:r w:rsidRPr="00B24FB8">
              <w:rPr>
                <w:rFonts w:ascii="Calibri" w:eastAsia="Times New Roman" w:hAnsi="Calibri" w:cs="Calibri"/>
                <w:color w:val="000000"/>
                <w:sz w:val="16"/>
                <w:szCs w:val="16"/>
                <w:lang w:val="en-US" w:eastAsia="it-IT"/>
              </w:rPr>
              <w:t>sms</w:t>
            </w:r>
            <w:proofErr w:type="spellEnd"/>
            <w:r w:rsidRPr="00B24FB8">
              <w:rPr>
                <w:rFonts w:ascii="Calibri" w:eastAsia="Times New Roman" w:hAnsi="Calibri" w:cs="Calibri"/>
                <w:color w:val="000000"/>
                <w:sz w:val="16"/>
                <w:szCs w:val="16"/>
                <w:lang w:val="en-US" w:eastAsia="it-IT"/>
              </w:rPr>
              <w:t xml:space="preserve">) to all beneficiaries who have a mobile phone, (d) posting on social media (camp page, community leaders). All this information needs to be translated into migrant languages. </w:t>
            </w:r>
            <w:r w:rsidRPr="00B24FB8">
              <w:rPr>
                <w:rFonts w:ascii="Calibri" w:eastAsia="Times New Roman" w:hAnsi="Calibri" w:cs="Calibri"/>
                <w:color w:val="000000"/>
                <w:sz w:val="16"/>
                <w:szCs w:val="16"/>
                <w:lang w:val="en-US" w:eastAsia="it-IT"/>
              </w:rPr>
              <w:br/>
              <w:t>● Based on existing vaccination records that often organizations seem to keep (camps, NGOs, national public services): (a) informing beneficiaries about vaccinations and booster vaccinations –letters need to be translated in the NAMs languages, (b) making appointments, if needed, (c) escorting and interpreting, if required.</w:t>
            </w:r>
            <w:r w:rsidRPr="00B24FB8">
              <w:rPr>
                <w:rFonts w:ascii="Calibri" w:eastAsia="Times New Roman" w:hAnsi="Calibri" w:cs="Calibri"/>
                <w:color w:val="000000"/>
                <w:sz w:val="16"/>
                <w:szCs w:val="16"/>
                <w:lang w:val="en-US" w:eastAsia="it-IT"/>
              </w:rPr>
              <w:br/>
              <w:t>- Vaccinations need to be promoted by all services caring for migrants. A particular quote emphasizes this. A participant says for example when patients visit a facility for an issue irrelevant to vaccination an information leaflet or brochure can be provided regardless of the fact that vaccination was not the reason for visiting.</w:t>
            </w:r>
            <w:r w:rsidRPr="00B24FB8">
              <w:rPr>
                <w:rFonts w:ascii="Calibri" w:eastAsia="Times New Roman" w:hAnsi="Calibri" w:cs="Calibri"/>
                <w:color w:val="000000"/>
                <w:sz w:val="16"/>
                <w:szCs w:val="16"/>
                <w:lang w:val="en-US" w:eastAsia="it-IT"/>
              </w:rPr>
              <w:br/>
              <w:t>- Linking vaccinations to employment, as reflected with in the COVID experience and the “green pass”.</w:t>
            </w:r>
            <w:r w:rsidRPr="00B24FB8">
              <w:rPr>
                <w:rFonts w:ascii="Calibri" w:eastAsia="Times New Roman" w:hAnsi="Calibri" w:cs="Calibri"/>
                <w:color w:val="000000"/>
                <w:sz w:val="16"/>
                <w:szCs w:val="16"/>
                <w:lang w:val="en-US" w:eastAsia="it-IT"/>
              </w:rPr>
              <w:br/>
              <w:t>- Another trigger for vaccination, for those migrants who aim at continuing their journey to other European countries, is making vaccination compulsory in order to be able to continue their journey</w:t>
            </w:r>
          </w:p>
        </w:tc>
      </w:tr>
      <w:tr w:rsidR="008E57CF" w:rsidRPr="00B24FB8" w14:paraId="0F1067D2" w14:textId="77777777" w:rsidTr="00F94946">
        <w:trPr>
          <w:trHeight w:val="2398"/>
        </w:trPr>
        <w:tc>
          <w:tcPr>
            <w:tcW w:w="0" w:type="auto"/>
            <w:vMerge/>
            <w:tcBorders>
              <w:top w:val="nil"/>
              <w:left w:val="single" w:sz="4" w:space="0" w:color="auto"/>
              <w:bottom w:val="single" w:sz="4" w:space="0" w:color="auto"/>
              <w:right w:val="single" w:sz="4" w:space="0" w:color="auto"/>
            </w:tcBorders>
            <w:vAlign w:val="center"/>
            <w:hideMark/>
          </w:tcPr>
          <w:p w14:paraId="3B68B124"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A608BC5"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r w:rsidRPr="00B24FB8">
              <w:rPr>
                <w:rFonts w:ascii="Arial" w:eastAsia="Times New Roman" w:hAnsi="Arial" w:cs="Arial"/>
                <w:color w:val="000000"/>
                <w:sz w:val="16"/>
                <w:szCs w:val="16"/>
                <w:lang w:val="it-IT" w:eastAsia="it-IT"/>
              </w:rPr>
              <w:t>Psycho-social</w:t>
            </w:r>
          </w:p>
        </w:tc>
        <w:tc>
          <w:tcPr>
            <w:tcW w:w="0" w:type="auto"/>
            <w:tcBorders>
              <w:top w:val="nil"/>
              <w:left w:val="nil"/>
              <w:bottom w:val="single" w:sz="4" w:space="0" w:color="auto"/>
              <w:right w:val="single" w:sz="4" w:space="0" w:color="auto"/>
            </w:tcBorders>
            <w:shd w:val="clear" w:color="auto" w:fill="auto"/>
            <w:hideMark/>
          </w:tcPr>
          <w:p w14:paraId="24DEC84E"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11B7139B"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Lack of motivation and the </w:t>
            </w:r>
            <w:proofErr w:type="gramStart"/>
            <w:r w:rsidRPr="00B24FB8">
              <w:rPr>
                <w:rFonts w:ascii="Calibri" w:eastAsia="Times New Roman" w:hAnsi="Calibri" w:cs="Calibri"/>
                <w:color w:val="000000"/>
                <w:sz w:val="16"/>
                <w:szCs w:val="16"/>
                <w:lang w:val="en-US" w:eastAsia="it-IT"/>
              </w:rPr>
              <w:t>low risk</w:t>
            </w:r>
            <w:proofErr w:type="gramEnd"/>
            <w:r w:rsidRPr="00B24FB8">
              <w:rPr>
                <w:rFonts w:ascii="Calibri" w:eastAsia="Times New Roman" w:hAnsi="Calibri" w:cs="Calibri"/>
                <w:color w:val="000000"/>
                <w:sz w:val="16"/>
                <w:szCs w:val="16"/>
                <w:lang w:val="en-US" w:eastAsia="it-IT"/>
              </w:rPr>
              <w:t xml:space="preserve"> perception: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is something they do not usually go through in their minds due to competing priorities (new arrivals need to balance finding employment and housing, alongside getting catch-up vaccines)</w:t>
            </w:r>
            <w:r w:rsidRPr="00B24FB8">
              <w:rPr>
                <w:rFonts w:ascii="Calibri" w:eastAsia="Times New Roman" w:hAnsi="Calibri" w:cs="Calibri"/>
                <w:color w:val="000000"/>
                <w:sz w:val="16"/>
                <w:szCs w:val="16"/>
                <w:lang w:val="en-US" w:eastAsia="it-IT"/>
              </w:rPr>
              <w:br/>
              <w:t>- There is a stigma around some infectious diseases and fear of accessing care due to precarious immigration status. Fear of being asked of their legal status or being identified were always present, affecting the everyday life of the migrant families and children with no legal documentation</w:t>
            </w:r>
            <w:r w:rsidRPr="00B24FB8">
              <w:rPr>
                <w:rFonts w:ascii="Calibri" w:eastAsia="Times New Roman" w:hAnsi="Calibri" w:cs="Calibri"/>
                <w:color w:val="000000"/>
                <w:sz w:val="16"/>
                <w:szCs w:val="16"/>
                <w:lang w:val="en-US" w:eastAsia="it-IT"/>
              </w:rPr>
              <w:br/>
              <w:t>- Mistrust in the health and vaccination system. Some migrant groups (</w:t>
            </w:r>
            <w:proofErr w:type="spellStart"/>
            <w:r w:rsidRPr="00B24FB8">
              <w:rPr>
                <w:rFonts w:ascii="Calibri" w:eastAsia="Times New Roman" w:hAnsi="Calibri" w:cs="Calibri"/>
                <w:color w:val="000000"/>
                <w:sz w:val="16"/>
                <w:szCs w:val="16"/>
                <w:lang w:val="en-US" w:eastAsia="it-IT"/>
              </w:rPr>
              <w:t>e.g</w:t>
            </w:r>
            <w:proofErr w:type="spellEnd"/>
            <w:r w:rsidRPr="00B24FB8">
              <w:rPr>
                <w:rFonts w:ascii="Calibri" w:eastAsia="Times New Roman" w:hAnsi="Calibri" w:cs="Calibri"/>
                <w:color w:val="000000"/>
                <w:sz w:val="16"/>
                <w:szCs w:val="16"/>
                <w:lang w:val="en-US" w:eastAsia="it-IT"/>
              </w:rPr>
              <w:t xml:space="preserve"> families, workers) may have well-founded mistrust of government and health </w:t>
            </w:r>
            <w:proofErr w:type="spellStart"/>
            <w:r w:rsidRPr="00B24FB8">
              <w:rPr>
                <w:rFonts w:ascii="Calibri" w:eastAsia="Times New Roman" w:hAnsi="Calibri" w:cs="Calibri"/>
                <w:color w:val="000000"/>
                <w:sz w:val="16"/>
                <w:szCs w:val="16"/>
                <w:lang w:val="en-US" w:eastAsia="it-IT"/>
              </w:rPr>
              <w:t>organisations</w:t>
            </w:r>
            <w:proofErr w:type="spellEnd"/>
            <w:r w:rsidRPr="00B24FB8">
              <w:rPr>
                <w:rFonts w:ascii="Calibri" w:eastAsia="Times New Roman" w:hAnsi="Calibri" w:cs="Calibri"/>
                <w:color w:val="000000"/>
                <w:sz w:val="16"/>
                <w:szCs w:val="16"/>
                <w:lang w:val="en-US" w:eastAsia="it-IT"/>
              </w:rPr>
              <w:t xml:space="preserve"> (based on previous experiences). This lack of trust in the health system causes reluctance to consent</w:t>
            </w:r>
          </w:p>
        </w:tc>
        <w:tc>
          <w:tcPr>
            <w:tcW w:w="0" w:type="auto"/>
            <w:tcBorders>
              <w:top w:val="nil"/>
              <w:left w:val="nil"/>
              <w:bottom w:val="single" w:sz="4" w:space="0" w:color="auto"/>
              <w:right w:val="single" w:sz="4" w:space="0" w:color="auto"/>
            </w:tcBorders>
            <w:shd w:val="clear" w:color="auto" w:fill="auto"/>
            <w:hideMark/>
          </w:tcPr>
          <w:p w14:paraId="3777EEC9"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Nothing relevant among key findings from qualitative research</w:t>
            </w:r>
          </w:p>
        </w:tc>
      </w:tr>
      <w:tr w:rsidR="008E57CF" w:rsidRPr="00B24FB8" w14:paraId="3530ED15" w14:textId="77777777" w:rsidTr="00F94946">
        <w:trPr>
          <w:trHeight w:val="1284"/>
        </w:trPr>
        <w:tc>
          <w:tcPr>
            <w:tcW w:w="0" w:type="auto"/>
            <w:vMerge/>
            <w:tcBorders>
              <w:top w:val="nil"/>
              <w:left w:val="single" w:sz="4" w:space="0" w:color="auto"/>
              <w:bottom w:val="single" w:sz="4" w:space="0" w:color="auto"/>
              <w:right w:val="single" w:sz="4" w:space="0" w:color="auto"/>
            </w:tcBorders>
            <w:vAlign w:val="center"/>
            <w:hideMark/>
          </w:tcPr>
          <w:p w14:paraId="036B8BC1"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4FDD21E3"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7169D2D6"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03CA3FA0"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Ensure all that vaccination is voluntary, confidential, non-stigmatizing</w:t>
            </w:r>
            <w:r w:rsidRPr="00B24FB8">
              <w:rPr>
                <w:rFonts w:ascii="Calibri" w:eastAsia="Times New Roman" w:hAnsi="Calibri" w:cs="Calibri"/>
                <w:color w:val="000000"/>
                <w:sz w:val="16"/>
                <w:szCs w:val="16"/>
                <w:lang w:val="en-US" w:eastAsia="it-IT"/>
              </w:rPr>
              <w:br/>
              <w:t xml:space="preserve">- Communication campaigns should be organized to clarify the benefits of vaccination and the total lack of legal consequences </w:t>
            </w:r>
            <w:proofErr w:type="gramStart"/>
            <w:r w:rsidRPr="00B24FB8">
              <w:rPr>
                <w:rFonts w:ascii="Calibri" w:eastAsia="Times New Roman" w:hAnsi="Calibri" w:cs="Calibri"/>
                <w:color w:val="000000"/>
                <w:sz w:val="16"/>
                <w:szCs w:val="16"/>
                <w:lang w:val="en-US" w:eastAsia="it-IT"/>
              </w:rPr>
              <w:t>in order to</w:t>
            </w:r>
            <w:proofErr w:type="gramEnd"/>
            <w:r w:rsidRPr="00B24FB8">
              <w:rPr>
                <w:rFonts w:ascii="Calibri" w:eastAsia="Times New Roman" w:hAnsi="Calibri" w:cs="Calibri"/>
                <w:color w:val="000000"/>
                <w:sz w:val="16"/>
                <w:szCs w:val="16"/>
                <w:lang w:val="en-US" w:eastAsia="it-IT"/>
              </w:rPr>
              <w:t xml:space="preserve"> avoid the fear of repatriation or removal</w:t>
            </w:r>
            <w:r w:rsidRPr="00B24FB8">
              <w:rPr>
                <w:rFonts w:ascii="Calibri" w:eastAsia="Times New Roman" w:hAnsi="Calibri" w:cs="Calibri"/>
                <w:color w:val="000000"/>
                <w:sz w:val="16"/>
                <w:szCs w:val="16"/>
                <w:lang w:val="en-US" w:eastAsia="it-IT"/>
              </w:rPr>
              <w:br/>
              <w:t xml:space="preserve">- Organize vaccination through trusted community health workers or non-profit </w:t>
            </w:r>
            <w:proofErr w:type="spellStart"/>
            <w:r w:rsidRPr="00B24FB8">
              <w:rPr>
                <w:rFonts w:ascii="Calibri" w:eastAsia="Times New Roman" w:hAnsi="Calibri" w:cs="Calibri"/>
                <w:color w:val="000000"/>
                <w:sz w:val="16"/>
                <w:szCs w:val="16"/>
                <w:lang w:val="en-US" w:eastAsia="it-IT"/>
              </w:rPr>
              <w:t>organisations</w:t>
            </w:r>
            <w:proofErr w:type="spellEnd"/>
            <w:r w:rsidRPr="00B24FB8">
              <w:rPr>
                <w:rFonts w:ascii="Calibri" w:eastAsia="Times New Roman" w:hAnsi="Calibri" w:cs="Calibri"/>
                <w:color w:val="000000"/>
                <w:sz w:val="16"/>
                <w:szCs w:val="16"/>
                <w:lang w:val="en-US" w:eastAsia="it-IT"/>
              </w:rPr>
              <w:t xml:space="preserve"> to avoid fear of legal consequences</w:t>
            </w:r>
          </w:p>
        </w:tc>
        <w:tc>
          <w:tcPr>
            <w:tcW w:w="0" w:type="auto"/>
            <w:tcBorders>
              <w:top w:val="nil"/>
              <w:left w:val="nil"/>
              <w:bottom w:val="single" w:sz="4" w:space="0" w:color="auto"/>
              <w:right w:val="single" w:sz="4" w:space="0" w:color="auto"/>
            </w:tcBorders>
            <w:shd w:val="clear" w:color="auto" w:fill="auto"/>
            <w:hideMark/>
          </w:tcPr>
          <w:p w14:paraId="00F7958D"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it-IT" w:eastAsia="it-IT"/>
              </w:rPr>
            </w:pPr>
            <w:r w:rsidRPr="00B24FB8">
              <w:rPr>
                <w:rFonts w:ascii="Calibri" w:eastAsia="Times New Roman" w:hAnsi="Calibri" w:cs="Calibri"/>
                <w:color w:val="000000"/>
                <w:sz w:val="16"/>
                <w:szCs w:val="16"/>
                <w:lang w:val="en-US" w:eastAsia="it-IT"/>
              </w:rPr>
              <w:t xml:space="preserve">In order to overcome these barriers </w:t>
            </w:r>
            <w:proofErr w:type="gramStart"/>
            <w:r w:rsidRPr="00B24FB8">
              <w:rPr>
                <w:rFonts w:ascii="Calibri" w:eastAsia="Times New Roman" w:hAnsi="Calibri" w:cs="Calibri"/>
                <w:color w:val="000000"/>
                <w:sz w:val="16"/>
                <w:szCs w:val="16"/>
                <w:lang w:val="en-US" w:eastAsia="it-IT"/>
              </w:rPr>
              <w:t>participants</w:t>
            </w:r>
            <w:proofErr w:type="gramEnd"/>
            <w:r w:rsidRPr="00B24FB8">
              <w:rPr>
                <w:rFonts w:ascii="Calibri" w:eastAsia="Times New Roman" w:hAnsi="Calibri" w:cs="Calibri"/>
                <w:color w:val="000000"/>
                <w:sz w:val="16"/>
                <w:szCs w:val="16"/>
                <w:lang w:val="en-US" w:eastAsia="it-IT"/>
              </w:rPr>
              <w:t xml:space="preserve"> emphasize the need for building relationships of trust by using mediators for example as well as community leaders who can boost vaccination uptake. </w:t>
            </w:r>
            <w:proofErr w:type="spellStart"/>
            <w:r w:rsidRPr="00B24FB8">
              <w:rPr>
                <w:rFonts w:ascii="Calibri" w:eastAsia="Times New Roman" w:hAnsi="Calibri" w:cs="Calibri"/>
                <w:color w:val="000000"/>
                <w:sz w:val="16"/>
                <w:szCs w:val="16"/>
                <w:lang w:val="it-IT" w:eastAsia="it-IT"/>
              </w:rPr>
              <w:t>These</w:t>
            </w:r>
            <w:proofErr w:type="spellEnd"/>
            <w:r w:rsidRPr="00B24FB8">
              <w:rPr>
                <w:rFonts w:ascii="Calibri" w:eastAsia="Times New Roman" w:hAnsi="Calibri" w:cs="Calibri"/>
                <w:color w:val="000000"/>
                <w:sz w:val="16"/>
                <w:szCs w:val="16"/>
                <w:lang w:val="it-IT" w:eastAsia="it-IT"/>
              </w:rPr>
              <w:t xml:space="preserve"> strong social </w:t>
            </w:r>
            <w:proofErr w:type="spellStart"/>
            <w:r w:rsidRPr="00B24FB8">
              <w:rPr>
                <w:rFonts w:ascii="Calibri" w:eastAsia="Times New Roman" w:hAnsi="Calibri" w:cs="Calibri"/>
                <w:color w:val="000000"/>
                <w:sz w:val="16"/>
                <w:szCs w:val="16"/>
                <w:lang w:val="it-IT" w:eastAsia="it-IT"/>
              </w:rPr>
              <w:t>figures</w:t>
            </w:r>
            <w:proofErr w:type="spellEnd"/>
            <w:r w:rsidRPr="00B24FB8">
              <w:rPr>
                <w:rFonts w:ascii="Calibri" w:eastAsia="Times New Roman" w:hAnsi="Calibri" w:cs="Calibri"/>
                <w:color w:val="000000"/>
                <w:sz w:val="16"/>
                <w:szCs w:val="16"/>
                <w:lang w:val="it-IT" w:eastAsia="it-IT"/>
              </w:rPr>
              <w:t xml:space="preserve"> can support</w:t>
            </w:r>
          </w:p>
        </w:tc>
      </w:tr>
      <w:tr w:rsidR="008E57CF" w:rsidRPr="00B24FB8" w14:paraId="1E5A4825" w14:textId="77777777" w:rsidTr="00F94946">
        <w:trPr>
          <w:trHeight w:val="5100"/>
        </w:trPr>
        <w:tc>
          <w:tcPr>
            <w:tcW w:w="0" w:type="auto"/>
            <w:vMerge/>
            <w:tcBorders>
              <w:top w:val="nil"/>
              <w:left w:val="single" w:sz="4" w:space="0" w:color="auto"/>
              <w:bottom w:val="single" w:sz="4" w:space="0" w:color="auto"/>
              <w:right w:val="single" w:sz="4" w:space="0" w:color="auto"/>
            </w:tcBorders>
            <w:vAlign w:val="center"/>
            <w:hideMark/>
          </w:tcPr>
          <w:p w14:paraId="31041493"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it-IT" w:eastAsia="it-IT"/>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496177F"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r w:rsidRPr="00B24FB8">
              <w:rPr>
                <w:rFonts w:ascii="Arial" w:eastAsia="Times New Roman" w:hAnsi="Arial" w:cs="Arial"/>
                <w:color w:val="000000"/>
                <w:sz w:val="16"/>
                <w:szCs w:val="16"/>
                <w:lang w:val="it-IT" w:eastAsia="it-IT"/>
              </w:rPr>
              <w:t>cultural-</w:t>
            </w:r>
            <w:proofErr w:type="spellStart"/>
            <w:r w:rsidRPr="00B24FB8">
              <w:rPr>
                <w:rFonts w:ascii="Arial" w:eastAsia="Times New Roman" w:hAnsi="Arial" w:cs="Arial"/>
                <w:color w:val="000000"/>
                <w:sz w:val="16"/>
                <w:szCs w:val="16"/>
                <w:lang w:val="it-IT" w:eastAsia="it-IT"/>
              </w:rPr>
              <w:t>linguistic</w:t>
            </w:r>
            <w:proofErr w:type="spellEnd"/>
          </w:p>
        </w:tc>
        <w:tc>
          <w:tcPr>
            <w:tcW w:w="0" w:type="auto"/>
            <w:tcBorders>
              <w:top w:val="nil"/>
              <w:left w:val="nil"/>
              <w:bottom w:val="single" w:sz="4" w:space="0" w:color="auto"/>
              <w:right w:val="single" w:sz="4" w:space="0" w:color="auto"/>
            </w:tcBorders>
            <w:shd w:val="clear" w:color="auto" w:fill="auto"/>
            <w:hideMark/>
          </w:tcPr>
          <w:p w14:paraId="0D1014EE"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3CFFA99E"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Migrants may lack awareness of vaccines’ existence. The lack of knowledge of the health system, vaccination schedule and relevant VPDs in the host country are important barrier to vaccination uptake</w:t>
            </w:r>
            <w:r w:rsidRPr="00B24FB8">
              <w:rPr>
                <w:rFonts w:ascii="Calibri" w:eastAsia="Times New Roman" w:hAnsi="Calibri" w:cs="Calibri"/>
                <w:color w:val="000000"/>
                <w:sz w:val="16"/>
                <w:szCs w:val="16"/>
                <w:lang w:val="en-US" w:eastAsia="it-IT"/>
              </w:rPr>
              <w:br/>
              <w:t>- Migrants may have misinformation and beliefs about infectious diseases and their risk and transmission factors that hinder the acceptability of screening and vaccination.</w:t>
            </w:r>
            <w:r w:rsidRPr="00B24FB8">
              <w:rPr>
                <w:rFonts w:ascii="Calibri" w:eastAsia="Times New Roman" w:hAnsi="Calibri" w:cs="Calibri"/>
                <w:color w:val="000000"/>
                <w:sz w:val="16"/>
                <w:szCs w:val="16"/>
                <w:lang w:val="en-US" w:eastAsia="it-IT"/>
              </w:rPr>
              <w:br/>
              <w:t>- Belief that vaccine is unnecessary and optional. Traditional beliefs of migrants may play a role in the value placed on outcomes of infectious disease interventions</w:t>
            </w:r>
            <w:r w:rsidRPr="00B24FB8">
              <w:rPr>
                <w:rFonts w:ascii="Calibri" w:eastAsia="Times New Roman" w:hAnsi="Calibri" w:cs="Calibri"/>
                <w:color w:val="000000"/>
                <w:sz w:val="16"/>
                <w:szCs w:val="16"/>
                <w:lang w:val="en-US" w:eastAsia="it-IT"/>
              </w:rPr>
              <w:br/>
              <w:t xml:space="preserve">- Concern about side effects and safety. Some parents are mainly concerned that their children would develop high fever after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and </w:t>
            </w:r>
            <w:proofErr w:type="gramStart"/>
            <w:r w:rsidRPr="00B24FB8">
              <w:rPr>
                <w:rFonts w:ascii="Calibri" w:eastAsia="Times New Roman" w:hAnsi="Calibri" w:cs="Calibri"/>
                <w:color w:val="000000"/>
                <w:sz w:val="16"/>
                <w:szCs w:val="16"/>
                <w:lang w:val="en-US" w:eastAsia="it-IT"/>
              </w:rPr>
              <w:t>needing</w:t>
            </w:r>
            <w:proofErr w:type="gramEnd"/>
            <w:r w:rsidRPr="00B24FB8">
              <w:rPr>
                <w:rFonts w:ascii="Calibri" w:eastAsia="Times New Roman" w:hAnsi="Calibri" w:cs="Calibri"/>
                <w:color w:val="000000"/>
                <w:sz w:val="16"/>
                <w:szCs w:val="16"/>
                <w:lang w:val="en-US" w:eastAsia="it-IT"/>
              </w:rPr>
              <w:t xml:space="preserve"> medical attention. Others may also worry about the pain associated with the injection.</w:t>
            </w:r>
            <w:r w:rsidRPr="00B24FB8">
              <w:rPr>
                <w:rFonts w:ascii="Calibri" w:eastAsia="Times New Roman" w:hAnsi="Calibri" w:cs="Calibri"/>
                <w:color w:val="000000"/>
                <w:sz w:val="16"/>
                <w:szCs w:val="16"/>
                <w:lang w:val="en-US" w:eastAsia="it-IT"/>
              </w:rPr>
              <w:br/>
              <w:t>- Several barriers about the lack of cultural competence of the services are reported in literature</w:t>
            </w:r>
            <w:r w:rsidRPr="00B24FB8">
              <w:rPr>
                <w:rFonts w:ascii="Calibri" w:eastAsia="Times New Roman" w:hAnsi="Calibri" w:cs="Calibri"/>
                <w:color w:val="000000"/>
                <w:sz w:val="16"/>
                <w:szCs w:val="16"/>
                <w:lang w:val="en-US" w:eastAsia="it-IT"/>
              </w:rPr>
              <w:br/>
              <w:t>- The lack of appropriate language aids is a major barrier for access to the health system by refugees and migrants. Poor information resources in their native language can reduce confidence and ability to access vaccination, as well as confidence and adherence to recommendations</w:t>
            </w:r>
            <w:r w:rsidRPr="00B24FB8">
              <w:rPr>
                <w:rFonts w:ascii="Calibri" w:eastAsia="Times New Roman" w:hAnsi="Calibri" w:cs="Calibri"/>
                <w:color w:val="000000"/>
                <w:sz w:val="16"/>
                <w:szCs w:val="16"/>
                <w:lang w:val="en-US" w:eastAsia="it-IT"/>
              </w:rPr>
              <w:br/>
              <w:t xml:space="preserve">- Professionals or administrative personnel who are not adequately and culturally trained (they are not only likely to contribute to a lower quality of service, but also may assume detrimental inappropriate </w:t>
            </w:r>
            <w:proofErr w:type="spellStart"/>
            <w:r w:rsidRPr="00B24FB8">
              <w:rPr>
                <w:rFonts w:ascii="Calibri" w:eastAsia="Times New Roman" w:hAnsi="Calibri" w:cs="Calibri"/>
                <w:color w:val="000000"/>
                <w:sz w:val="16"/>
                <w:szCs w:val="16"/>
                <w:lang w:val="en-US" w:eastAsia="it-IT"/>
              </w:rPr>
              <w:t>behaviours</w:t>
            </w:r>
            <w:proofErr w:type="spellEnd"/>
            <w:r w:rsidRPr="00B24FB8">
              <w:rPr>
                <w:rFonts w:ascii="Calibri" w:eastAsia="Times New Roman" w:hAnsi="Calibri" w:cs="Calibri"/>
                <w:color w:val="000000"/>
                <w:sz w:val="16"/>
                <w:szCs w:val="16"/>
                <w:lang w:val="en-US" w:eastAsia="it-IT"/>
              </w:rPr>
              <w:t xml:space="preserve"> and stereotypical attitudes towards migrants)</w:t>
            </w:r>
          </w:p>
        </w:tc>
        <w:tc>
          <w:tcPr>
            <w:tcW w:w="0" w:type="auto"/>
            <w:tcBorders>
              <w:top w:val="nil"/>
              <w:left w:val="nil"/>
              <w:bottom w:val="single" w:sz="4" w:space="0" w:color="auto"/>
              <w:right w:val="single" w:sz="4" w:space="0" w:color="auto"/>
            </w:tcBorders>
            <w:shd w:val="clear" w:color="auto" w:fill="auto"/>
            <w:hideMark/>
          </w:tcPr>
          <w:p w14:paraId="371AE89B"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Nothing relevant among key findings from qualitative research</w:t>
            </w:r>
          </w:p>
        </w:tc>
      </w:tr>
      <w:tr w:rsidR="008E57CF" w:rsidRPr="00B24FB8" w14:paraId="569E7EB7" w14:textId="77777777" w:rsidTr="00F94946">
        <w:trPr>
          <w:trHeight w:val="8184"/>
        </w:trPr>
        <w:tc>
          <w:tcPr>
            <w:tcW w:w="0" w:type="auto"/>
            <w:vMerge/>
            <w:tcBorders>
              <w:top w:val="nil"/>
              <w:left w:val="single" w:sz="4" w:space="0" w:color="auto"/>
              <w:bottom w:val="single" w:sz="4" w:space="0" w:color="auto"/>
              <w:right w:val="single" w:sz="4" w:space="0" w:color="auto"/>
            </w:tcBorders>
            <w:vAlign w:val="center"/>
            <w:hideMark/>
          </w:tcPr>
          <w:p w14:paraId="088E7203"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5BB883E7"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50A91234"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012C3434"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Health promotion and educational programs are especially important for refugees and migrants because often they are not familiar with the health and vaccination systems of the host country and so lack knowledge of what kind of support is available, whether they are entitled to it and how they can access it </w:t>
            </w:r>
            <w:r w:rsidRPr="00B24FB8">
              <w:rPr>
                <w:rFonts w:ascii="Calibri" w:eastAsia="Times New Roman" w:hAnsi="Calibri" w:cs="Calibri"/>
                <w:color w:val="000000"/>
                <w:sz w:val="16"/>
                <w:szCs w:val="16"/>
                <w:lang w:val="en-US" w:eastAsia="it-IT"/>
              </w:rPr>
              <w:br/>
              <w:t>- Specific subgroups of migrants should be taken into account in the implementation of the general measures proposed to overcome linguistic barriers, which include the use of information material translated into different languages, staff training and the activation of services tailored to the specific needs of migrants and the identification and training of foreign cultural mediators to inform and motivate migrants on access to vaccination services</w:t>
            </w:r>
            <w:r w:rsidRPr="00B24FB8">
              <w:rPr>
                <w:rFonts w:ascii="Calibri" w:eastAsia="Times New Roman" w:hAnsi="Calibri" w:cs="Calibri"/>
                <w:color w:val="000000"/>
                <w:sz w:val="16"/>
                <w:szCs w:val="16"/>
                <w:lang w:val="en-US" w:eastAsia="it-IT"/>
              </w:rPr>
              <w:br/>
              <w:t xml:space="preserve">- Information regarding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and informed consent should be available in multiple languages</w:t>
            </w:r>
            <w:r w:rsidRPr="00B24FB8">
              <w:rPr>
                <w:rFonts w:ascii="Calibri" w:eastAsia="Times New Roman" w:hAnsi="Calibri" w:cs="Calibri"/>
                <w:color w:val="000000"/>
                <w:sz w:val="16"/>
                <w:szCs w:val="16"/>
                <w:lang w:val="en-US" w:eastAsia="it-IT"/>
              </w:rPr>
              <w:br/>
              <w:t>- Policy-makers must guarantee a culturally competent healthcare service?</w:t>
            </w:r>
            <w:r w:rsidRPr="00B24FB8">
              <w:rPr>
                <w:rFonts w:ascii="Calibri" w:eastAsia="Times New Roman" w:hAnsi="Calibri" w:cs="Calibri"/>
                <w:color w:val="000000"/>
                <w:sz w:val="16"/>
                <w:szCs w:val="16"/>
                <w:lang w:val="en-US" w:eastAsia="it-IT"/>
              </w:rPr>
              <w:br/>
              <w:t>- The cultural competence and cultural awareness of healthcare practitioners and vaccinators need to be strengthened to adequately respond to the needs of refugees and migrants: the more awareness among practitioners about the cultural background of their patient, the higher the quality of care they can provide.</w:t>
            </w:r>
            <w:r w:rsidRPr="00B24FB8">
              <w:rPr>
                <w:rFonts w:ascii="Calibri" w:eastAsia="Times New Roman" w:hAnsi="Calibri" w:cs="Calibri"/>
                <w:color w:val="000000"/>
                <w:sz w:val="16"/>
                <w:szCs w:val="16"/>
                <w:lang w:val="en-US" w:eastAsia="it-IT"/>
              </w:rPr>
              <w:br/>
              <w:t xml:space="preserve">- Generating and maintaining demand for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services and addressing vaccine hesitancy will require use of traditional and new social communication platforms, </w:t>
            </w:r>
            <w:proofErr w:type="spellStart"/>
            <w:r w:rsidRPr="00B24FB8">
              <w:rPr>
                <w:rFonts w:ascii="Calibri" w:eastAsia="Times New Roman" w:hAnsi="Calibri" w:cs="Calibri"/>
                <w:color w:val="000000"/>
                <w:sz w:val="16"/>
                <w:szCs w:val="16"/>
                <w:lang w:val="en-US" w:eastAsia="it-IT"/>
              </w:rPr>
              <w:t>optimising</w:t>
            </w:r>
            <w:proofErr w:type="spellEnd"/>
            <w:r w:rsidRPr="00B24FB8">
              <w:rPr>
                <w:rFonts w:ascii="Calibri" w:eastAsia="Times New Roman" w:hAnsi="Calibri" w:cs="Calibri"/>
                <w:color w:val="000000"/>
                <w:sz w:val="16"/>
                <w:szCs w:val="16"/>
                <w:lang w:val="en-US" w:eastAsia="it-IT"/>
              </w:rPr>
              <w:t xml:space="preserve"> the role of front-line health care workers, identifying and leveraging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champions and agents of change, tailoring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w:t>
            </w:r>
            <w:proofErr w:type="spellStart"/>
            <w:r w:rsidRPr="00B24FB8">
              <w:rPr>
                <w:rFonts w:ascii="Calibri" w:eastAsia="Times New Roman" w:hAnsi="Calibri" w:cs="Calibri"/>
                <w:color w:val="000000"/>
                <w:sz w:val="16"/>
                <w:szCs w:val="16"/>
                <w:lang w:val="en-US" w:eastAsia="it-IT"/>
              </w:rPr>
              <w:t>programme</w:t>
            </w:r>
            <w:proofErr w:type="spellEnd"/>
            <w:r w:rsidRPr="00B24FB8">
              <w:rPr>
                <w:rFonts w:ascii="Calibri" w:eastAsia="Times New Roman" w:hAnsi="Calibri" w:cs="Calibri"/>
                <w:color w:val="000000"/>
                <w:sz w:val="16"/>
                <w:szCs w:val="16"/>
                <w:lang w:val="en-US" w:eastAsia="it-IT"/>
              </w:rPr>
              <w:t xml:space="preserve"> advocacy and communication to susceptible populations, including mobile, </w:t>
            </w:r>
            <w:proofErr w:type="spellStart"/>
            <w:r w:rsidRPr="00B24FB8">
              <w:rPr>
                <w:rFonts w:ascii="Calibri" w:eastAsia="Times New Roman" w:hAnsi="Calibri" w:cs="Calibri"/>
                <w:color w:val="000000"/>
                <w:sz w:val="16"/>
                <w:szCs w:val="16"/>
                <w:lang w:val="en-US" w:eastAsia="it-IT"/>
              </w:rPr>
              <w:t>marginalised</w:t>
            </w:r>
            <w:proofErr w:type="spellEnd"/>
            <w:r w:rsidRPr="00B24FB8">
              <w:rPr>
                <w:rFonts w:ascii="Calibri" w:eastAsia="Times New Roman" w:hAnsi="Calibri" w:cs="Calibri"/>
                <w:color w:val="000000"/>
                <w:sz w:val="16"/>
                <w:szCs w:val="16"/>
                <w:lang w:val="en-US" w:eastAsia="it-IT"/>
              </w:rPr>
              <w:t xml:space="preserve"> and migrant populations, and communicating the benefits of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and the risks presented by VPDs</w:t>
            </w:r>
            <w:r w:rsidRPr="00B24FB8">
              <w:rPr>
                <w:rFonts w:ascii="Calibri" w:eastAsia="Times New Roman" w:hAnsi="Calibri" w:cs="Calibri"/>
                <w:color w:val="000000"/>
                <w:sz w:val="16"/>
                <w:szCs w:val="16"/>
                <w:lang w:val="en-US" w:eastAsia="it-IT"/>
              </w:rPr>
              <w:br/>
              <w:t>- Communication and advocacy strategies regarding the benefits and safety of vaccination, including engagement of mainstream and social media and other relevant channels, should be tailored to ensure that evidence and information reach target refugee and migrant communities.</w:t>
            </w:r>
            <w:r w:rsidRPr="00B24FB8">
              <w:rPr>
                <w:rFonts w:ascii="Calibri" w:eastAsia="Times New Roman" w:hAnsi="Calibri" w:cs="Calibri"/>
                <w:color w:val="000000"/>
                <w:sz w:val="16"/>
                <w:szCs w:val="16"/>
                <w:lang w:val="en-US" w:eastAsia="it-IT"/>
              </w:rPr>
              <w:br/>
              <w:t xml:space="preserve">- Direct involvement of immigrant communities and cultural mediators and / or third sector associations to encourage the transmission of key messages for prevention in the languages understood by migrants and in a culturally appropriate manner and to prevent the dissemination of incorrect information </w:t>
            </w:r>
            <w:r w:rsidRPr="00B24FB8">
              <w:rPr>
                <w:rFonts w:ascii="Calibri" w:eastAsia="Times New Roman" w:hAnsi="Calibri" w:cs="Calibri"/>
                <w:color w:val="000000"/>
                <w:sz w:val="16"/>
                <w:szCs w:val="16"/>
                <w:lang w:val="en-US" w:eastAsia="it-IT"/>
              </w:rPr>
              <w:br/>
              <w:t xml:space="preserve">- The use of cultural mediators can be helpful in facilitating productive cross-cultural patient–provider dialogue and should be encouraged within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programmes. Such mediators have been found to be effective educators, health promoters and health-care system navigators for refugees and migrants, mitigating key barriers to care.</w:t>
            </w:r>
          </w:p>
        </w:tc>
        <w:tc>
          <w:tcPr>
            <w:tcW w:w="0" w:type="auto"/>
            <w:tcBorders>
              <w:top w:val="nil"/>
              <w:left w:val="nil"/>
              <w:bottom w:val="single" w:sz="4" w:space="0" w:color="auto"/>
              <w:right w:val="single" w:sz="4" w:space="0" w:color="auto"/>
            </w:tcBorders>
            <w:shd w:val="clear" w:color="auto" w:fill="auto"/>
            <w:hideMark/>
          </w:tcPr>
          <w:p w14:paraId="17DB642B"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Training on how (a) to communicate the need for vaccinations to migrants as well as (b) how to discuss fears, </w:t>
            </w:r>
            <w:proofErr w:type="gramStart"/>
            <w:r w:rsidRPr="00B24FB8">
              <w:rPr>
                <w:rFonts w:ascii="Calibri" w:eastAsia="Times New Roman" w:hAnsi="Calibri" w:cs="Calibri"/>
                <w:color w:val="000000"/>
                <w:sz w:val="16"/>
                <w:szCs w:val="16"/>
                <w:lang w:val="en-US" w:eastAsia="it-IT"/>
              </w:rPr>
              <w:t>misunderstandings</w:t>
            </w:r>
            <w:proofErr w:type="gramEnd"/>
            <w:r w:rsidRPr="00B24FB8">
              <w:rPr>
                <w:rFonts w:ascii="Calibri" w:eastAsia="Times New Roman" w:hAnsi="Calibri" w:cs="Calibri"/>
                <w:color w:val="000000"/>
                <w:sz w:val="16"/>
                <w:szCs w:val="16"/>
                <w:lang w:val="en-US" w:eastAsia="it-IT"/>
              </w:rPr>
              <w:t xml:space="preserve"> or misinformation.</w:t>
            </w:r>
          </w:p>
        </w:tc>
      </w:tr>
      <w:tr w:rsidR="008E57CF" w:rsidRPr="00B24FB8" w14:paraId="23AA6AFD" w14:textId="77777777" w:rsidTr="00F94946">
        <w:trPr>
          <w:trHeight w:val="5688"/>
        </w:trPr>
        <w:tc>
          <w:tcPr>
            <w:tcW w:w="0" w:type="auto"/>
            <w:vMerge w:val="restart"/>
            <w:tcBorders>
              <w:top w:val="nil"/>
              <w:left w:val="single" w:sz="4" w:space="0" w:color="auto"/>
              <w:bottom w:val="single" w:sz="4" w:space="0" w:color="000000"/>
              <w:right w:val="single" w:sz="4" w:space="0" w:color="auto"/>
            </w:tcBorders>
            <w:shd w:val="clear" w:color="auto" w:fill="auto"/>
            <w:hideMark/>
          </w:tcPr>
          <w:p w14:paraId="1970278F"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it-IT" w:eastAsia="it-IT"/>
              </w:rPr>
            </w:pPr>
            <w:r w:rsidRPr="00B24FB8">
              <w:rPr>
                <w:rFonts w:ascii="Arial" w:eastAsia="Times New Roman" w:hAnsi="Arial" w:cs="Arial"/>
                <w:b/>
                <w:bCs/>
                <w:color w:val="000000"/>
                <w:sz w:val="16"/>
                <w:szCs w:val="16"/>
                <w:lang w:val="it-IT" w:eastAsia="it-IT"/>
              </w:rPr>
              <w:t>Achievement</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7EAA587C"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proofErr w:type="spellStart"/>
            <w:r w:rsidRPr="00B24FB8">
              <w:rPr>
                <w:rFonts w:ascii="Arial" w:eastAsia="Times New Roman" w:hAnsi="Arial" w:cs="Arial"/>
                <w:color w:val="000000"/>
                <w:sz w:val="16"/>
                <w:szCs w:val="16"/>
                <w:lang w:val="it-IT" w:eastAsia="it-IT"/>
              </w:rPr>
              <w:t>Organizational</w:t>
            </w:r>
            <w:proofErr w:type="spellEnd"/>
          </w:p>
        </w:tc>
        <w:tc>
          <w:tcPr>
            <w:tcW w:w="0" w:type="auto"/>
            <w:tcBorders>
              <w:top w:val="nil"/>
              <w:left w:val="nil"/>
              <w:bottom w:val="single" w:sz="4" w:space="0" w:color="auto"/>
              <w:right w:val="single" w:sz="4" w:space="0" w:color="auto"/>
            </w:tcBorders>
            <w:shd w:val="clear" w:color="auto" w:fill="auto"/>
            <w:hideMark/>
          </w:tcPr>
          <w:p w14:paraId="68118E72"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04929FEE"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Specific documents are often required for vaccination, creating a spectrum of barriers that IOM graduates from low to high; </w:t>
            </w:r>
            <w:r w:rsidRPr="00B24FB8">
              <w:rPr>
                <w:rFonts w:ascii="Calibri" w:eastAsia="Times New Roman" w:hAnsi="Calibri" w:cs="Calibri"/>
                <w:color w:val="000000"/>
                <w:sz w:val="16"/>
                <w:szCs w:val="16"/>
                <w:lang w:val="en-US" w:eastAsia="it-IT"/>
              </w:rPr>
              <w:br/>
              <w:t xml:space="preserve">● low: some countries will accept any form of ID, valid or not, expired or not, and from anywhere, only to verify the identity; </w:t>
            </w:r>
            <w:r w:rsidRPr="00B24FB8">
              <w:rPr>
                <w:rFonts w:ascii="Calibri" w:eastAsia="Times New Roman" w:hAnsi="Calibri" w:cs="Calibri"/>
                <w:color w:val="000000"/>
                <w:sz w:val="16"/>
                <w:szCs w:val="16"/>
                <w:lang w:val="en-US" w:eastAsia="it-IT"/>
              </w:rPr>
              <w:br/>
              <w:t xml:space="preserve">● medium: other countries require specific types of documents (e.g. residence permit, host country insurance cards), which constitutes a higher barrier, but those documents are accepted even if expired; </w:t>
            </w:r>
            <w:r w:rsidRPr="00B24FB8">
              <w:rPr>
                <w:rFonts w:ascii="Calibri" w:eastAsia="Times New Roman" w:hAnsi="Calibri" w:cs="Calibri"/>
                <w:color w:val="000000"/>
                <w:sz w:val="16"/>
                <w:szCs w:val="16"/>
                <w:lang w:val="en-US" w:eastAsia="it-IT"/>
              </w:rPr>
              <w:br/>
              <w:t>● high: other countries require specific types of documents that are still valid.</w:t>
            </w:r>
            <w:r w:rsidRPr="00B24FB8">
              <w:rPr>
                <w:rFonts w:ascii="Calibri" w:eastAsia="Times New Roman" w:hAnsi="Calibri" w:cs="Calibri"/>
                <w:color w:val="000000"/>
                <w:sz w:val="16"/>
                <w:szCs w:val="16"/>
                <w:lang w:val="en-US" w:eastAsia="it-IT"/>
              </w:rPr>
              <w:br/>
              <w:t>- Unknown vaccination history and lack of vaccination records</w:t>
            </w:r>
            <w:r w:rsidRPr="00B24FB8">
              <w:rPr>
                <w:rFonts w:ascii="Calibri" w:eastAsia="Times New Roman" w:hAnsi="Calibri" w:cs="Calibri"/>
                <w:color w:val="000000"/>
                <w:sz w:val="16"/>
                <w:szCs w:val="16"/>
                <w:lang w:val="en-US" w:eastAsia="it-IT"/>
              </w:rPr>
              <w:br/>
              <w:t xml:space="preserve">- Many vaccines require booster doses and timed intervals of weeks or even months to get full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Ensuring appropriate follow-up and the completion of vaccination schedule within and across countries is difficult when dealing with migrants.</w:t>
            </w:r>
            <w:r w:rsidRPr="00B24FB8">
              <w:rPr>
                <w:rFonts w:ascii="Calibri" w:eastAsia="Times New Roman" w:hAnsi="Calibri" w:cs="Calibri"/>
                <w:color w:val="000000"/>
                <w:sz w:val="16"/>
                <w:szCs w:val="16"/>
                <w:lang w:val="en-US" w:eastAsia="it-IT"/>
              </w:rPr>
              <w:br/>
              <w:t>- Lack of recording of vaccination doses and information is not shared with risk of duplication of vaccination doses</w:t>
            </w:r>
            <w:r w:rsidRPr="00B24FB8">
              <w:rPr>
                <w:rFonts w:ascii="Calibri" w:eastAsia="Times New Roman" w:hAnsi="Calibri" w:cs="Calibri"/>
                <w:color w:val="000000"/>
                <w:sz w:val="16"/>
                <w:szCs w:val="16"/>
                <w:lang w:val="en-US" w:eastAsia="it-IT"/>
              </w:rPr>
              <w:br/>
              <w:t xml:space="preserve">- Vaccine price and limited supply doses may affect particularly </w:t>
            </w:r>
            <w:proofErr w:type="spellStart"/>
            <w:r w:rsidRPr="00B24FB8">
              <w:rPr>
                <w:rFonts w:ascii="Calibri" w:eastAsia="Times New Roman" w:hAnsi="Calibri" w:cs="Calibri"/>
                <w:color w:val="000000"/>
                <w:sz w:val="16"/>
                <w:szCs w:val="16"/>
                <w:lang w:val="en-US" w:eastAsia="it-IT"/>
              </w:rPr>
              <w:t>marginalised</w:t>
            </w:r>
            <w:proofErr w:type="spellEnd"/>
            <w:r w:rsidRPr="00B24FB8">
              <w:rPr>
                <w:rFonts w:ascii="Calibri" w:eastAsia="Times New Roman" w:hAnsi="Calibri" w:cs="Calibri"/>
                <w:color w:val="000000"/>
                <w:sz w:val="16"/>
                <w:szCs w:val="16"/>
                <w:lang w:val="en-US" w:eastAsia="it-IT"/>
              </w:rPr>
              <w:t xml:space="preserve"> communities </w:t>
            </w:r>
            <w:r w:rsidRPr="00B24FB8">
              <w:rPr>
                <w:rFonts w:ascii="Calibri" w:eastAsia="Times New Roman" w:hAnsi="Calibri" w:cs="Calibri"/>
                <w:color w:val="000000"/>
                <w:sz w:val="16"/>
                <w:szCs w:val="16"/>
                <w:lang w:val="en-US" w:eastAsia="it-IT"/>
              </w:rPr>
              <w:br/>
              <w:t>- Health system capacity: lack of financial and human resources</w:t>
            </w:r>
            <w:r w:rsidRPr="00B24FB8">
              <w:rPr>
                <w:rFonts w:ascii="Calibri" w:eastAsia="Times New Roman" w:hAnsi="Calibri" w:cs="Calibri"/>
                <w:color w:val="000000"/>
                <w:sz w:val="16"/>
                <w:szCs w:val="16"/>
                <w:lang w:val="en-US" w:eastAsia="it-IT"/>
              </w:rPr>
              <w:br/>
              <w:t>- Fragmented health systems and diverse models of care, with separate pathways for screening and vaccination of refugees and migrants, can create confusion for both patients and health-care providers especially when lead with large influx of refugees and migrants</w:t>
            </w:r>
            <w:r w:rsidRPr="00B24FB8">
              <w:rPr>
                <w:rFonts w:ascii="Calibri" w:eastAsia="Times New Roman" w:hAnsi="Calibri" w:cs="Calibri"/>
                <w:color w:val="000000"/>
                <w:sz w:val="16"/>
                <w:szCs w:val="16"/>
                <w:lang w:val="en-US" w:eastAsia="it-IT"/>
              </w:rPr>
              <w:br/>
              <w:t>- Organization and opening of services is inconvenient, considering the need of multiple appointments; lack of time for dedicated outpatient visits.</w:t>
            </w:r>
          </w:p>
        </w:tc>
        <w:tc>
          <w:tcPr>
            <w:tcW w:w="0" w:type="auto"/>
            <w:tcBorders>
              <w:top w:val="nil"/>
              <w:left w:val="nil"/>
              <w:bottom w:val="single" w:sz="4" w:space="0" w:color="auto"/>
              <w:right w:val="single" w:sz="4" w:space="0" w:color="auto"/>
            </w:tcBorders>
            <w:shd w:val="clear" w:color="auto" w:fill="auto"/>
            <w:hideMark/>
          </w:tcPr>
          <w:p w14:paraId="080E3240"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Key findings for execution and completion do not differ to those presented for adherence and hesitancy.</w:t>
            </w:r>
          </w:p>
        </w:tc>
      </w:tr>
      <w:tr w:rsidR="008E57CF" w:rsidRPr="00B24FB8" w14:paraId="026ADA34" w14:textId="77777777" w:rsidTr="00F94946">
        <w:trPr>
          <w:trHeight w:val="6651"/>
        </w:trPr>
        <w:tc>
          <w:tcPr>
            <w:tcW w:w="0" w:type="auto"/>
            <w:vMerge/>
            <w:tcBorders>
              <w:top w:val="nil"/>
              <w:left w:val="single" w:sz="4" w:space="0" w:color="auto"/>
              <w:bottom w:val="single" w:sz="4" w:space="0" w:color="000000"/>
              <w:right w:val="single" w:sz="4" w:space="0" w:color="auto"/>
            </w:tcBorders>
            <w:vAlign w:val="center"/>
            <w:hideMark/>
          </w:tcPr>
          <w:p w14:paraId="5BD7260E"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67DBBF20"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744018DF"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5A071294"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Administrative flexibility to facilitate the access to vaccination to those who have no registration with the NHS or valid documents has been adopted in several countries for COVID-19</w:t>
            </w:r>
            <w:r w:rsidRPr="00B24FB8">
              <w:rPr>
                <w:rFonts w:ascii="Calibri" w:eastAsia="Times New Roman" w:hAnsi="Calibri" w:cs="Calibri"/>
                <w:color w:val="000000"/>
                <w:sz w:val="16"/>
                <w:szCs w:val="16"/>
                <w:lang w:val="en-US" w:eastAsia="it-IT"/>
              </w:rPr>
              <w:br/>
              <w:t xml:space="preserve">- If the previous vaccination documentation is difficult to interpret because of language barriers, and there may be doubts about its authenticity, it may be preferable to ignore the written record and repeat the vaccination. </w:t>
            </w:r>
            <w:r w:rsidRPr="00B24FB8">
              <w:rPr>
                <w:rFonts w:ascii="Calibri" w:eastAsia="Times New Roman" w:hAnsi="Calibri" w:cs="Calibri"/>
                <w:color w:val="000000"/>
                <w:sz w:val="16"/>
                <w:szCs w:val="16"/>
                <w:lang w:val="en-US" w:eastAsia="it-IT"/>
              </w:rPr>
              <w:br/>
              <w:t xml:space="preserve">- If previous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is not available, immigrants should be considered susceptible to the disease in question, triggering the age-appropriate vaccination schedule</w:t>
            </w:r>
            <w:r w:rsidRPr="00B24FB8">
              <w:rPr>
                <w:rFonts w:ascii="Calibri" w:eastAsia="Times New Roman" w:hAnsi="Calibri" w:cs="Calibri"/>
                <w:color w:val="000000"/>
                <w:sz w:val="16"/>
                <w:szCs w:val="16"/>
                <w:lang w:val="en-US" w:eastAsia="it-IT"/>
              </w:rPr>
              <w:br/>
              <w:t xml:space="preserve">- The reception </w:t>
            </w:r>
            <w:proofErr w:type="spellStart"/>
            <w:r w:rsidRPr="00B24FB8">
              <w:rPr>
                <w:rFonts w:ascii="Calibri" w:eastAsia="Times New Roman" w:hAnsi="Calibri" w:cs="Calibri"/>
                <w:color w:val="000000"/>
                <w:sz w:val="16"/>
                <w:szCs w:val="16"/>
                <w:lang w:val="en-US" w:eastAsia="it-IT"/>
              </w:rPr>
              <w:t>centres</w:t>
            </w:r>
            <w:proofErr w:type="spellEnd"/>
            <w:r w:rsidRPr="00B24FB8">
              <w:rPr>
                <w:rFonts w:ascii="Calibri" w:eastAsia="Times New Roman" w:hAnsi="Calibri" w:cs="Calibri"/>
                <w:color w:val="000000"/>
                <w:sz w:val="16"/>
                <w:szCs w:val="16"/>
                <w:lang w:val="en-US" w:eastAsia="it-IT"/>
              </w:rPr>
              <w:t xml:space="preserve"> are an ideal setting to offer full or catch-up vaccination. The operational mechanism for vaccination should essentially be time accommodation dependent, which may require a minimum of 6-7 months. For migrants who may move across borders in their migration, high-quality data need to be collected and shared between countries to facilitate completion of vaccination doses.</w:t>
            </w:r>
            <w:r w:rsidRPr="00B24FB8">
              <w:rPr>
                <w:rFonts w:ascii="Calibri" w:eastAsia="Times New Roman" w:hAnsi="Calibri" w:cs="Calibri"/>
                <w:color w:val="000000"/>
                <w:sz w:val="16"/>
                <w:szCs w:val="16"/>
                <w:lang w:val="en-US" w:eastAsia="it-IT"/>
              </w:rPr>
              <w:br/>
              <w:t xml:space="preserve">- Strengthening partnerships and implementing initiatives across countries of arrival, transit and destination to develop and share better documentation in order to ensure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and avoid revaccination</w:t>
            </w:r>
            <w:r w:rsidRPr="00B24FB8">
              <w:rPr>
                <w:rFonts w:ascii="Calibri" w:eastAsia="Times New Roman" w:hAnsi="Calibri" w:cs="Calibri"/>
                <w:color w:val="000000"/>
                <w:sz w:val="16"/>
                <w:szCs w:val="16"/>
                <w:lang w:val="en-US" w:eastAsia="it-IT"/>
              </w:rPr>
              <w:br/>
              <w:t>- Innovative Solutions and tailored approaches</w:t>
            </w:r>
            <w:r w:rsidRPr="00B24FB8">
              <w:rPr>
                <w:rFonts w:ascii="Calibri" w:eastAsia="Times New Roman" w:hAnsi="Calibri" w:cs="Calibri"/>
                <w:color w:val="000000"/>
                <w:sz w:val="16"/>
                <w:szCs w:val="16"/>
                <w:lang w:val="en-US" w:eastAsia="it-IT"/>
              </w:rPr>
              <w:br/>
              <w:t xml:space="preserve">- The importance of a coordinated response to ensure vaccination provision is </w:t>
            </w:r>
            <w:proofErr w:type="spellStart"/>
            <w:r w:rsidRPr="00B24FB8">
              <w:rPr>
                <w:rFonts w:ascii="Calibri" w:eastAsia="Times New Roman" w:hAnsi="Calibri" w:cs="Calibri"/>
                <w:color w:val="000000"/>
                <w:sz w:val="16"/>
                <w:szCs w:val="16"/>
                <w:lang w:val="en-US" w:eastAsia="it-IT"/>
              </w:rPr>
              <w:t>prioritised</w:t>
            </w:r>
            <w:proofErr w:type="spellEnd"/>
            <w:r w:rsidRPr="00B24FB8">
              <w:rPr>
                <w:rFonts w:ascii="Calibri" w:eastAsia="Times New Roman" w:hAnsi="Calibri" w:cs="Calibri"/>
                <w:color w:val="000000"/>
                <w:sz w:val="16"/>
                <w:szCs w:val="16"/>
                <w:lang w:val="en-US" w:eastAsia="it-IT"/>
              </w:rPr>
              <w:t xml:space="preserve"> in situations of sudden large influxes of refugees and migrants. Intersectoral stakeholders should be engaged in the development of action plans to improve country preparedness, and public–private partnerships might be used to address issues of vaccine supply to cater for sudden influxes of refugees and migrants. Additional financial and human resources should be available for appropriate service delivery strategies</w:t>
            </w:r>
            <w:r w:rsidRPr="00B24FB8">
              <w:rPr>
                <w:rFonts w:ascii="Calibri" w:eastAsia="Times New Roman" w:hAnsi="Calibri" w:cs="Calibri"/>
                <w:color w:val="000000"/>
                <w:sz w:val="16"/>
                <w:szCs w:val="16"/>
                <w:lang w:val="en-US" w:eastAsia="it-IT"/>
              </w:rPr>
              <w:br/>
              <w:t>- A single-dose vaccine option may be preferable for (e.g. seasonal workers) who move between locations/states</w:t>
            </w:r>
            <w:r w:rsidRPr="00B24FB8">
              <w:rPr>
                <w:rFonts w:ascii="Calibri" w:eastAsia="Times New Roman" w:hAnsi="Calibri" w:cs="Calibri"/>
                <w:color w:val="000000"/>
                <w:sz w:val="16"/>
                <w:szCs w:val="16"/>
                <w:lang w:val="en-US" w:eastAsia="it-IT"/>
              </w:rPr>
              <w:br/>
              <w:t xml:space="preserve">- Extended clinical hours, </w:t>
            </w:r>
            <w:proofErr w:type="spellStart"/>
            <w:r w:rsidRPr="00B24FB8">
              <w:rPr>
                <w:rFonts w:ascii="Calibri" w:eastAsia="Times New Roman" w:hAnsi="Calibri" w:cs="Calibri"/>
                <w:color w:val="000000"/>
                <w:sz w:val="16"/>
                <w:szCs w:val="16"/>
                <w:lang w:val="en-US" w:eastAsia="it-IT"/>
              </w:rPr>
              <w:t>out-of</w:t>
            </w:r>
            <w:proofErr w:type="spellEnd"/>
            <w:r w:rsidRPr="00B24FB8">
              <w:rPr>
                <w:rFonts w:ascii="Calibri" w:eastAsia="Times New Roman" w:hAnsi="Calibri" w:cs="Calibri"/>
                <w:color w:val="000000"/>
                <w:sz w:val="16"/>
                <w:szCs w:val="16"/>
                <w:lang w:val="en-US" w:eastAsia="it-IT"/>
              </w:rPr>
              <w:t xml:space="preserve">–hours clinics, drop-in </w:t>
            </w:r>
            <w:proofErr w:type="spellStart"/>
            <w:r w:rsidRPr="00B24FB8">
              <w:rPr>
                <w:rFonts w:ascii="Calibri" w:eastAsia="Times New Roman" w:hAnsi="Calibri" w:cs="Calibri"/>
                <w:color w:val="000000"/>
                <w:sz w:val="16"/>
                <w:szCs w:val="16"/>
                <w:lang w:val="en-US" w:eastAsia="it-IT"/>
              </w:rPr>
              <w:t>centres</w:t>
            </w:r>
            <w:proofErr w:type="spellEnd"/>
            <w:r w:rsidRPr="00B24FB8">
              <w:rPr>
                <w:rFonts w:ascii="Calibri" w:eastAsia="Times New Roman" w:hAnsi="Calibri" w:cs="Calibri"/>
                <w:color w:val="000000"/>
                <w:sz w:val="16"/>
                <w:szCs w:val="16"/>
                <w:lang w:val="en-US" w:eastAsia="it-IT"/>
              </w:rPr>
              <w:t xml:space="preserve"> and pharmacy-based delivery of vaccination can provide opportunities for administering vaccination and reduce socioeconomic barriers to accessing care (within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service delivery regulations and laws in the country)</w:t>
            </w:r>
            <w:r w:rsidRPr="00B24FB8">
              <w:rPr>
                <w:rFonts w:ascii="Calibri" w:eastAsia="Times New Roman" w:hAnsi="Calibri" w:cs="Calibri"/>
                <w:color w:val="000000"/>
                <w:sz w:val="16"/>
                <w:szCs w:val="16"/>
                <w:lang w:val="en-US" w:eastAsia="it-IT"/>
              </w:rPr>
              <w:br/>
              <w:t xml:space="preserve">- The Health Service Executive’s active recall system for the primary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w:t>
            </w:r>
            <w:proofErr w:type="spellStart"/>
            <w:r w:rsidRPr="00B24FB8">
              <w:rPr>
                <w:rFonts w:ascii="Calibri" w:eastAsia="Times New Roman" w:hAnsi="Calibri" w:cs="Calibri"/>
                <w:color w:val="000000"/>
                <w:sz w:val="16"/>
                <w:szCs w:val="16"/>
                <w:lang w:val="en-US" w:eastAsia="it-IT"/>
              </w:rPr>
              <w:t>programme</w:t>
            </w:r>
            <w:proofErr w:type="spellEnd"/>
            <w:r w:rsidRPr="00B24FB8">
              <w:rPr>
                <w:rFonts w:ascii="Calibri" w:eastAsia="Times New Roman" w:hAnsi="Calibri" w:cs="Calibri"/>
                <w:color w:val="000000"/>
                <w:sz w:val="16"/>
                <w:szCs w:val="16"/>
                <w:lang w:val="en-US" w:eastAsia="it-IT"/>
              </w:rPr>
              <w:t xml:space="preserve">. Clinics for the school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w:t>
            </w:r>
            <w:proofErr w:type="spellStart"/>
            <w:r w:rsidRPr="00B24FB8">
              <w:rPr>
                <w:rFonts w:ascii="Calibri" w:eastAsia="Times New Roman" w:hAnsi="Calibri" w:cs="Calibri"/>
                <w:color w:val="000000"/>
                <w:sz w:val="16"/>
                <w:szCs w:val="16"/>
                <w:lang w:val="en-US" w:eastAsia="it-IT"/>
              </w:rPr>
              <w:t>programme</w:t>
            </w:r>
            <w:proofErr w:type="spellEnd"/>
            <w:r w:rsidRPr="00B24FB8">
              <w:rPr>
                <w:rFonts w:ascii="Calibri" w:eastAsia="Times New Roman" w:hAnsi="Calibri" w:cs="Calibri"/>
                <w:color w:val="000000"/>
                <w:sz w:val="16"/>
                <w:szCs w:val="16"/>
                <w:lang w:val="en-US" w:eastAsia="it-IT"/>
              </w:rPr>
              <w:t xml:space="preserve"> held over the summer for those children who may have missed vaccination day.</w:t>
            </w:r>
          </w:p>
        </w:tc>
        <w:tc>
          <w:tcPr>
            <w:tcW w:w="0" w:type="auto"/>
            <w:tcBorders>
              <w:top w:val="nil"/>
              <w:left w:val="nil"/>
              <w:bottom w:val="single" w:sz="4" w:space="0" w:color="auto"/>
              <w:right w:val="single" w:sz="4" w:space="0" w:color="auto"/>
            </w:tcBorders>
            <w:shd w:val="clear" w:color="auto" w:fill="auto"/>
            <w:hideMark/>
          </w:tcPr>
          <w:p w14:paraId="5C60A370"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Key findings for execution and completion do not differ to those presented for adherence and hesitancy.</w:t>
            </w:r>
          </w:p>
        </w:tc>
      </w:tr>
      <w:tr w:rsidR="008E57CF" w:rsidRPr="00B24FB8" w14:paraId="1861E639" w14:textId="77777777" w:rsidTr="00F94946">
        <w:trPr>
          <w:trHeight w:val="1680"/>
        </w:trPr>
        <w:tc>
          <w:tcPr>
            <w:tcW w:w="0" w:type="auto"/>
            <w:vMerge/>
            <w:tcBorders>
              <w:top w:val="nil"/>
              <w:left w:val="single" w:sz="4" w:space="0" w:color="auto"/>
              <w:bottom w:val="single" w:sz="4" w:space="0" w:color="000000"/>
              <w:right w:val="single" w:sz="4" w:space="0" w:color="auto"/>
            </w:tcBorders>
            <w:vAlign w:val="center"/>
            <w:hideMark/>
          </w:tcPr>
          <w:p w14:paraId="5841C08D"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6D84BBE3"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r w:rsidRPr="00B24FB8">
              <w:rPr>
                <w:rFonts w:ascii="Arial" w:eastAsia="Times New Roman" w:hAnsi="Arial" w:cs="Arial"/>
                <w:color w:val="000000"/>
                <w:sz w:val="16"/>
                <w:szCs w:val="16"/>
                <w:lang w:val="it-IT" w:eastAsia="it-IT"/>
              </w:rPr>
              <w:t>cultural-</w:t>
            </w:r>
            <w:proofErr w:type="spellStart"/>
            <w:r w:rsidRPr="00B24FB8">
              <w:rPr>
                <w:rFonts w:ascii="Arial" w:eastAsia="Times New Roman" w:hAnsi="Arial" w:cs="Arial"/>
                <w:color w:val="000000"/>
                <w:sz w:val="16"/>
                <w:szCs w:val="16"/>
                <w:lang w:val="it-IT" w:eastAsia="it-IT"/>
              </w:rPr>
              <w:t>linguistic</w:t>
            </w:r>
            <w:proofErr w:type="spellEnd"/>
          </w:p>
        </w:tc>
        <w:tc>
          <w:tcPr>
            <w:tcW w:w="0" w:type="auto"/>
            <w:tcBorders>
              <w:top w:val="nil"/>
              <w:left w:val="nil"/>
              <w:bottom w:val="single" w:sz="4" w:space="0" w:color="auto"/>
              <w:right w:val="single" w:sz="4" w:space="0" w:color="auto"/>
            </w:tcBorders>
            <w:shd w:val="clear" w:color="auto" w:fill="auto"/>
            <w:hideMark/>
          </w:tcPr>
          <w:p w14:paraId="1828DC11"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728F4187"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Language barriers and lack of interpreters for informed consent</w:t>
            </w:r>
            <w:r w:rsidRPr="00B24FB8">
              <w:rPr>
                <w:rFonts w:ascii="Calibri" w:eastAsia="Times New Roman" w:hAnsi="Calibri" w:cs="Calibri"/>
                <w:color w:val="000000"/>
                <w:sz w:val="16"/>
                <w:szCs w:val="16"/>
                <w:lang w:val="en-US" w:eastAsia="it-IT"/>
              </w:rPr>
              <w:br/>
              <w:t>- Insufficient training among Health Professionals</w:t>
            </w:r>
            <w:r w:rsidRPr="00B24FB8">
              <w:rPr>
                <w:rFonts w:ascii="Calibri" w:eastAsia="Times New Roman" w:hAnsi="Calibri" w:cs="Calibri"/>
                <w:color w:val="000000"/>
                <w:sz w:val="16"/>
                <w:szCs w:val="16"/>
                <w:lang w:val="en-US" w:eastAsia="it-IT"/>
              </w:rPr>
              <w:br/>
              <w:t xml:space="preserve">- Staff shortages, including for cultural mediators and interpreters, who are critical for establishing effective and inclusive services, act as barriers to implementation of national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policies and limit systematic collection and evaluation of data for corrective actions</w:t>
            </w:r>
          </w:p>
        </w:tc>
        <w:tc>
          <w:tcPr>
            <w:tcW w:w="0" w:type="auto"/>
            <w:tcBorders>
              <w:top w:val="nil"/>
              <w:left w:val="nil"/>
              <w:bottom w:val="single" w:sz="4" w:space="0" w:color="auto"/>
              <w:right w:val="single" w:sz="4" w:space="0" w:color="auto"/>
            </w:tcBorders>
            <w:shd w:val="clear" w:color="auto" w:fill="auto"/>
            <w:hideMark/>
          </w:tcPr>
          <w:p w14:paraId="7CD1D193"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Key findings for execution and completion do not differ to those presented for adherence and hesitancy.</w:t>
            </w:r>
          </w:p>
        </w:tc>
      </w:tr>
      <w:tr w:rsidR="008E57CF" w:rsidRPr="00B24FB8" w14:paraId="3C17A10A" w14:textId="77777777" w:rsidTr="00F94946">
        <w:trPr>
          <w:trHeight w:val="1831"/>
        </w:trPr>
        <w:tc>
          <w:tcPr>
            <w:tcW w:w="0" w:type="auto"/>
            <w:vMerge/>
            <w:tcBorders>
              <w:top w:val="nil"/>
              <w:left w:val="single" w:sz="4" w:space="0" w:color="auto"/>
              <w:bottom w:val="single" w:sz="4" w:space="0" w:color="000000"/>
              <w:right w:val="single" w:sz="4" w:space="0" w:color="auto"/>
            </w:tcBorders>
            <w:vAlign w:val="center"/>
            <w:hideMark/>
          </w:tcPr>
          <w:p w14:paraId="7EC9C8E2"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1E2C7E70"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r w:rsidRPr="00B24FB8">
              <w:rPr>
                <w:rFonts w:ascii="Arial" w:eastAsia="Times New Roman" w:hAnsi="Arial" w:cs="Arial"/>
                <w:color w:val="000000"/>
                <w:sz w:val="16"/>
                <w:szCs w:val="16"/>
                <w:lang w:val="en-US" w:eastAsia="it-IT"/>
              </w:rPr>
              <w:t> </w:t>
            </w:r>
          </w:p>
        </w:tc>
        <w:tc>
          <w:tcPr>
            <w:tcW w:w="0" w:type="auto"/>
            <w:tcBorders>
              <w:top w:val="nil"/>
              <w:left w:val="nil"/>
              <w:bottom w:val="single" w:sz="4" w:space="0" w:color="auto"/>
              <w:right w:val="single" w:sz="4" w:space="0" w:color="auto"/>
            </w:tcBorders>
            <w:shd w:val="clear" w:color="auto" w:fill="auto"/>
            <w:hideMark/>
          </w:tcPr>
          <w:p w14:paraId="2BFB5DBD"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6547E756"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Communication services (</w:t>
            </w:r>
            <w:proofErr w:type="gramStart"/>
            <w:r w:rsidRPr="00B24FB8">
              <w:rPr>
                <w:rFonts w:ascii="Calibri" w:eastAsia="Times New Roman" w:hAnsi="Calibri" w:cs="Calibri"/>
                <w:color w:val="000000"/>
                <w:sz w:val="16"/>
                <w:szCs w:val="16"/>
                <w:lang w:val="en-US" w:eastAsia="it-IT"/>
              </w:rPr>
              <w:t>i.e.</w:t>
            </w:r>
            <w:proofErr w:type="gramEnd"/>
            <w:r w:rsidRPr="00B24FB8">
              <w:rPr>
                <w:rFonts w:ascii="Calibri" w:eastAsia="Times New Roman" w:hAnsi="Calibri" w:cs="Calibri"/>
                <w:color w:val="000000"/>
                <w:sz w:val="16"/>
                <w:szCs w:val="16"/>
                <w:lang w:val="en-US" w:eastAsia="it-IT"/>
              </w:rPr>
              <w:t xml:space="preserve"> cultural mediators, interpreters) for health care providers should be available, or improved, for the promotion of an inclusive and culturally sensitive health system</w:t>
            </w:r>
            <w:r w:rsidRPr="00B24FB8">
              <w:rPr>
                <w:rFonts w:ascii="Calibri" w:eastAsia="Times New Roman" w:hAnsi="Calibri" w:cs="Calibri"/>
                <w:color w:val="000000"/>
                <w:sz w:val="16"/>
                <w:szCs w:val="16"/>
                <w:lang w:val="en-US" w:eastAsia="it-IT"/>
              </w:rPr>
              <w:br/>
              <w:t xml:space="preserve">- It is necessary to provide training opportunities for Health Professionals to improve their awareness of the catch-up needs of refugees across all age groups. Resources such as online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calculators, refugee specific guidelines and e-learning could potentially equip Health Professionals with the relevant skills and knowledge and ultimately make implementation of catch-up vaccines for this group easier.</w:t>
            </w:r>
            <w:r w:rsidRPr="00B24FB8">
              <w:rPr>
                <w:rFonts w:ascii="Calibri" w:eastAsia="Times New Roman" w:hAnsi="Calibri" w:cs="Calibri"/>
                <w:color w:val="000000"/>
                <w:sz w:val="16"/>
                <w:szCs w:val="16"/>
                <w:lang w:val="en-US" w:eastAsia="it-IT"/>
              </w:rPr>
              <w:br/>
              <w:t xml:space="preserve">- Train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managers and service providers.</w:t>
            </w:r>
          </w:p>
        </w:tc>
        <w:tc>
          <w:tcPr>
            <w:tcW w:w="0" w:type="auto"/>
            <w:tcBorders>
              <w:top w:val="nil"/>
              <w:left w:val="nil"/>
              <w:bottom w:val="single" w:sz="4" w:space="0" w:color="auto"/>
              <w:right w:val="single" w:sz="4" w:space="0" w:color="auto"/>
            </w:tcBorders>
            <w:shd w:val="clear" w:color="auto" w:fill="auto"/>
            <w:hideMark/>
          </w:tcPr>
          <w:p w14:paraId="1282B99E"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Key findings for execution and completion do not differ to those presented for adherence and hesitancy.</w:t>
            </w:r>
          </w:p>
        </w:tc>
      </w:tr>
      <w:tr w:rsidR="008E57CF" w:rsidRPr="00B24FB8" w14:paraId="3AF3228A" w14:textId="77777777" w:rsidTr="00F94946">
        <w:trPr>
          <w:trHeight w:val="156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7189D0C6"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it-IT" w:eastAsia="it-IT"/>
              </w:rPr>
            </w:pPr>
            <w:r w:rsidRPr="00B24FB8">
              <w:rPr>
                <w:rFonts w:ascii="Arial" w:eastAsia="Times New Roman" w:hAnsi="Arial" w:cs="Arial"/>
                <w:b/>
                <w:bCs/>
                <w:color w:val="000000"/>
                <w:sz w:val="16"/>
                <w:szCs w:val="16"/>
                <w:lang w:val="it-IT" w:eastAsia="it-IT"/>
              </w:rPr>
              <w:t>Evaluation</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F1B3B75"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it-IT" w:eastAsia="it-IT"/>
              </w:rPr>
            </w:pPr>
            <w:proofErr w:type="spellStart"/>
            <w:r w:rsidRPr="00B24FB8">
              <w:rPr>
                <w:rFonts w:ascii="Arial" w:eastAsia="Times New Roman" w:hAnsi="Arial" w:cs="Arial"/>
                <w:color w:val="000000"/>
                <w:sz w:val="16"/>
                <w:szCs w:val="16"/>
                <w:lang w:val="it-IT" w:eastAsia="it-IT"/>
              </w:rPr>
              <w:t>Organizational</w:t>
            </w:r>
            <w:proofErr w:type="spellEnd"/>
          </w:p>
        </w:tc>
        <w:tc>
          <w:tcPr>
            <w:tcW w:w="0" w:type="auto"/>
            <w:tcBorders>
              <w:top w:val="nil"/>
              <w:left w:val="nil"/>
              <w:bottom w:val="single" w:sz="4" w:space="0" w:color="auto"/>
              <w:right w:val="single" w:sz="4" w:space="0" w:color="auto"/>
            </w:tcBorders>
            <w:shd w:val="clear" w:color="auto" w:fill="auto"/>
            <w:hideMark/>
          </w:tcPr>
          <w:p w14:paraId="62C4D756"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proofErr w:type="spellStart"/>
            <w:r w:rsidRPr="00B24FB8">
              <w:rPr>
                <w:rFonts w:ascii="Arial" w:eastAsia="Times New Roman" w:hAnsi="Arial" w:cs="Arial"/>
                <w:i/>
                <w:iCs/>
                <w:sz w:val="16"/>
                <w:szCs w:val="16"/>
                <w:lang w:val="it-IT" w:eastAsia="it-IT"/>
              </w:rPr>
              <w:t>Barriers</w:t>
            </w:r>
            <w:proofErr w:type="spellEnd"/>
          </w:p>
        </w:tc>
        <w:tc>
          <w:tcPr>
            <w:tcW w:w="0" w:type="auto"/>
            <w:tcBorders>
              <w:top w:val="nil"/>
              <w:left w:val="nil"/>
              <w:bottom w:val="single" w:sz="4" w:space="0" w:color="auto"/>
              <w:right w:val="single" w:sz="4" w:space="0" w:color="auto"/>
            </w:tcBorders>
            <w:shd w:val="clear" w:color="auto" w:fill="auto"/>
            <w:hideMark/>
          </w:tcPr>
          <w:p w14:paraId="3485E44C"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Lack of robust and </w:t>
            </w:r>
            <w:proofErr w:type="spellStart"/>
            <w:r w:rsidRPr="00B24FB8">
              <w:rPr>
                <w:rFonts w:ascii="Calibri" w:eastAsia="Times New Roman" w:hAnsi="Calibri" w:cs="Calibri"/>
                <w:color w:val="000000"/>
                <w:sz w:val="16"/>
                <w:szCs w:val="16"/>
                <w:lang w:val="en-US" w:eastAsia="it-IT"/>
              </w:rPr>
              <w:t>standardised</w:t>
            </w:r>
            <w:proofErr w:type="spellEnd"/>
            <w:r w:rsidRPr="00B24FB8">
              <w:rPr>
                <w:rFonts w:ascii="Calibri" w:eastAsia="Times New Roman" w:hAnsi="Calibri" w:cs="Calibri"/>
                <w:color w:val="000000"/>
                <w:sz w:val="16"/>
                <w:szCs w:val="16"/>
                <w:lang w:val="en-US" w:eastAsia="it-IT"/>
              </w:rPr>
              <w:t xml:space="preserve"> data Information on the effectiveness and cost-effectiveness of vaccination programmes targeting migrants, and the practical implementation challenges facing these interventions</w:t>
            </w:r>
          </w:p>
        </w:tc>
        <w:tc>
          <w:tcPr>
            <w:tcW w:w="0" w:type="auto"/>
            <w:tcBorders>
              <w:top w:val="nil"/>
              <w:left w:val="nil"/>
              <w:bottom w:val="single" w:sz="4" w:space="0" w:color="auto"/>
              <w:right w:val="single" w:sz="4" w:space="0" w:color="auto"/>
            </w:tcBorders>
            <w:shd w:val="clear" w:color="auto" w:fill="auto"/>
            <w:hideMark/>
          </w:tcPr>
          <w:p w14:paraId="0F93FA39"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Across all countries, there is lack of national, regional or local data bases to record vaccinations as a way of monitoring vaccination schedules and avoiding unnecessary vaccinations or missing booster vaccinations (for Greece, Malta and Poland the specific barrier was also mentioned in the section about reachability of NAMs)</w:t>
            </w:r>
            <w:r w:rsidRPr="00B24FB8">
              <w:rPr>
                <w:rFonts w:ascii="Calibri" w:eastAsia="Times New Roman" w:hAnsi="Calibri" w:cs="Calibri"/>
                <w:color w:val="000000"/>
                <w:sz w:val="16"/>
                <w:szCs w:val="16"/>
                <w:lang w:val="en-US" w:eastAsia="it-IT"/>
              </w:rPr>
              <w:br/>
              <w:t>- In all countries apart from Germany, different actors involved in the immunization of NAMs seem to keep their own records and data, however they use them internally.</w:t>
            </w:r>
          </w:p>
        </w:tc>
      </w:tr>
      <w:tr w:rsidR="008E57CF" w:rsidRPr="00B24FB8" w14:paraId="11FCB2AE" w14:textId="77777777" w:rsidTr="00F94946">
        <w:trPr>
          <w:trHeight w:val="2808"/>
        </w:trPr>
        <w:tc>
          <w:tcPr>
            <w:tcW w:w="0" w:type="auto"/>
            <w:vMerge/>
            <w:tcBorders>
              <w:top w:val="nil"/>
              <w:left w:val="single" w:sz="4" w:space="0" w:color="auto"/>
              <w:bottom w:val="single" w:sz="4" w:space="0" w:color="auto"/>
              <w:right w:val="single" w:sz="4" w:space="0" w:color="auto"/>
            </w:tcBorders>
            <w:vAlign w:val="center"/>
            <w:hideMark/>
          </w:tcPr>
          <w:p w14:paraId="1C80ED10" w14:textId="77777777" w:rsidR="00B24FB8" w:rsidRPr="00B24FB8" w:rsidRDefault="00B24FB8" w:rsidP="00F94946">
            <w:pPr>
              <w:spacing w:after="0" w:line="240" w:lineRule="auto"/>
              <w:contextualSpacing/>
              <w:jc w:val="both"/>
              <w:rPr>
                <w:rFonts w:ascii="Arial" w:eastAsia="Times New Roman" w:hAnsi="Arial" w:cs="Arial"/>
                <w:b/>
                <w:bCs/>
                <w:color w:val="000000"/>
                <w:sz w:val="16"/>
                <w:szCs w:val="16"/>
                <w:lang w:val="en-US" w:eastAsia="it-IT"/>
              </w:rPr>
            </w:pPr>
          </w:p>
        </w:tc>
        <w:tc>
          <w:tcPr>
            <w:tcW w:w="0" w:type="auto"/>
            <w:vMerge/>
            <w:tcBorders>
              <w:top w:val="nil"/>
              <w:left w:val="single" w:sz="4" w:space="0" w:color="auto"/>
              <w:bottom w:val="single" w:sz="4" w:space="0" w:color="auto"/>
              <w:right w:val="single" w:sz="4" w:space="0" w:color="auto"/>
            </w:tcBorders>
            <w:vAlign w:val="center"/>
            <w:hideMark/>
          </w:tcPr>
          <w:p w14:paraId="19134BFE" w14:textId="77777777" w:rsidR="00B24FB8" w:rsidRPr="00B24FB8" w:rsidRDefault="00B24FB8" w:rsidP="00F94946">
            <w:pPr>
              <w:spacing w:after="0" w:line="240" w:lineRule="auto"/>
              <w:contextualSpacing/>
              <w:jc w:val="both"/>
              <w:rPr>
                <w:rFonts w:ascii="Arial" w:eastAsia="Times New Roman" w:hAnsi="Arial" w:cs="Arial"/>
                <w:color w:val="000000"/>
                <w:sz w:val="16"/>
                <w:szCs w:val="16"/>
                <w:lang w:val="en-US" w:eastAsia="it-IT"/>
              </w:rPr>
            </w:pPr>
          </w:p>
        </w:tc>
        <w:tc>
          <w:tcPr>
            <w:tcW w:w="0" w:type="auto"/>
            <w:tcBorders>
              <w:top w:val="nil"/>
              <w:left w:val="nil"/>
              <w:bottom w:val="single" w:sz="4" w:space="0" w:color="auto"/>
              <w:right w:val="single" w:sz="4" w:space="0" w:color="auto"/>
            </w:tcBorders>
            <w:shd w:val="clear" w:color="auto" w:fill="auto"/>
            <w:hideMark/>
          </w:tcPr>
          <w:p w14:paraId="14570633" w14:textId="77777777" w:rsidR="00B24FB8" w:rsidRPr="00B24FB8" w:rsidRDefault="00B24FB8" w:rsidP="00F94946">
            <w:pPr>
              <w:spacing w:after="0" w:line="240" w:lineRule="auto"/>
              <w:contextualSpacing/>
              <w:jc w:val="both"/>
              <w:rPr>
                <w:rFonts w:ascii="Arial" w:eastAsia="Times New Roman" w:hAnsi="Arial" w:cs="Arial"/>
                <w:i/>
                <w:iCs/>
                <w:sz w:val="16"/>
                <w:szCs w:val="16"/>
                <w:lang w:val="it-IT" w:eastAsia="it-IT"/>
              </w:rPr>
            </w:pPr>
            <w:r w:rsidRPr="00B24FB8">
              <w:rPr>
                <w:rFonts w:ascii="Arial" w:eastAsia="Times New Roman" w:hAnsi="Arial" w:cs="Arial"/>
                <w:i/>
                <w:iCs/>
                <w:sz w:val="16"/>
                <w:szCs w:val="16"/>
                <w:lang w:val="it-IT" w:eastAsia="it-IT"/>
              </w:rPr>
              <w:t>Solutions</w:t>
            </w:r>
          </w:p>
        </w:tc>
        <w:tc>
          <w:tcPr>
            <w:tcW w:w="0" w:type="auto"/>
            <w:tcBorders>
              <w:top w:val="nil"/>
              <w:left w:val="nil"/>
              <w:bottom w:val="single" w:sz="4" w:space="0" w:color="auto"/>
              <w:right w:val="single" w:sz="4" w:space="0" w:color="auto"/>
            </w:tcBorders>
            <w:shd w:val="clear" w:color="auto" w:fill="auto"/>
            <w:hideMark/>
          </w:tcPr>
          <w:p w14:paraId="69958B78"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8D28BB">
              <w:rPr>
                <w:rFonts w:ascii="Calibri" w:eastAsia="Times New Roman" w:hAnsi="Calibri" w:cs="Calibri"/>
                <w:color w:val="000000"/>
                <w:sz w:val="16"/>
                <w:szCs w:val="16"/>
                <w:lang w:eastAsia="it-IT"/>
              </w:rPr>
              <w:t xml:space="preserve"> </w:t>
            </w:r>
            <w:r w:rsidRPr="00B24FB8">
              <w:rPr>
                <w:rFonts w:ascii="Calibri" w:eastAsia="Times New Roman" w:hAnsi="Calibri" w:cs="Calibri"/>
                <w:color w:val="000000"/>
                <w:sz w:val="16"/>
                <w:szCs w:val="16"/>
                <w:lang w:val="en-US" w:eastAsia="it-IT"/>
              </w:rPr>
              <w:t xml:space="preserve">- Track </w:t>
            </w:r>
            <w:proofErr w:type="gramStart"/>
            <w:r w:rsidRPr="00B24FB8">
              <w:rPr>
                <w:rFonts w:ascii="Calibri" w:eastAsia="Times New Roman" w:hAnsi="Calibri" w:cs="Calibri"/>
                <w:color w:val="000000"/>
                <w:sz w:val="16"/>
                <w:szCs w:val="16"/>
                <w:lang w:val="en-US" w:eastAsia="it-IT"/>
              </w:rPr>
              <w:t>each individual’s</w:t>
            </w:r>
            <w:proofErr w:type="gramEnd"/>
            <w:r w:rsidRPr="00B24FB8">
              <w:rPr>
                <w:rFonts w:ascii="Calibri" w:eastAsia="Times New Roman" w:hAnsi="Calibri" w:cs="Calibri"/>
                <w:color w:val="000000"/>
                <w:sz w:val="16"/>
                <w:szCs w:val="16"/>
                <w:lang w:val="en-US" w:eastAsia="it-IT"/>
              </w:rPr>
              <w:t xml:space="preserve">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status, preferably through introduction of electronic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registries that are well integrated within health information systems and leverage other relevant civil registries.</w:t>
            </w:r>
            <w:r w:rsidRPr="00B24FB8">
              <w:rPr>
                <w:rFonts w:ascii="Calibri" w:eastAsia="Times New Roman" w:hAnsi="Calibri" w:cs="Calibri"/>
                <w:color w:val="000000"/>
                <w:sz w:val="16"/>
                <w:szCs w:val="16"/>
                <w:lang w:val="en-US" w:eastAsia="it-IT"/>
              </w:rPr>
              <w:br/>
              <w:t xml:space="preserve">- Electronic medical records, interlinking national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registers and data sharing along migratory routes can contribute to monitoring and planning of vaccination of refugees and migrants. </w:t>
            </w:r>
            <w:r w:rsidRPr="00B24FB8">
              <w:rPr>
                <w:rFonts w:ascii="Calibri" w:eastAsia="Times New Roman" w:hAnsi="Calibri" w:cs="Calibri"/>
                <w:color w:val="000000"/>
                <w:sz w:val="16"/>
                <w:szCs w:val="16"/>
                <w:lang w:val="en-US" w:eastAsia="it-IT"/>
              </w:rPr>
              <w:br/>
              <w:t xml:space="preserve">- Setting up or expanding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information systems to monitor vaccination coverage</w:t>
            </w:r>
            <w:r w:rsidRPr="00B24FB8">
              <w:rPr>
                <w:rFonts w:ascii="Calibri" w:eastAsia="Times New Roman" w:hAnsi="Calibri" w:cs="Calibri"/>
                <w:color w:val="000000"/>
                <w:sz w:val="16"/>
                <w:szCs w:val="16"/>
                <w:lang w:val="en-US" w:eastAsia="it-IT"/>
              </w:rPr>
              <w:br/>
              <w:t xml:space="preserve">- Further research would be valuable </w:t>
            </w:r>
            <w:proofErr w:type="gramStart"/>
            <w:r w:rsidRPr="00B24FB8">
              <w:rPr>
                <w:rFonts w:ascii="Calibri" w:eastAsia="Times New Roman" w:hAnsi="Calibri" w:cs="Calibri"/>
                <w:color w:val="000000"/>
                <w:sz w:val="16"/>
                <w:szCs w:val="16"/>
                <w:lang w:val="en-US" w:eastAsia="it-IT"/>
              </w:rPr>
              <w:t>in order to</w:t>
            </w:r>
            <w:proofErr w:type="gramEnd"/>
            <w:r w:rsidRPr="00B24FB8">
              <w:rPr>
                <w:rFonts w:ascii="Calibri" w:eastAsia="Times New Roman" w:hAnsi="Calibri" w:cs="Calibri"/>
                <w:color w:val="000000"/>
                <w:sz w:val="16"/>
                <w:szCs w:val="16"/>
                <w:lang w:val="en-US" w:eastAsia="it-IT"/>
              </w:rPr>
              <w:t xml:space="preserve"> better understand and evaluate acceptability and accessibility of migrant communities toward interventions</w:t>
            </w:r>
            <w:r w:rsidRPr="00B24FB8">
              <w:rPr>
                <w:rFonts w:ascii="Calibri" w:eastAsia="Times New Roman" w:hAnsi="Calibri" w:cs="Calibri"/>
                <w:color w:val="000000"/>
                <w:sz w:val="16"/>
                <w:szCs w:val="16"/>
                <w:lang w:val="en-US" w:eastAsia="it-IT"/>
              </w:rPr>
              <w:br/>
              <w:t xml:space="preserve">-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information systems, population-based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registries, record administered vaccinations to support </w:t>
            </w:r>
            <w:proofErr w:type="spellStart"/>
            <w:r w:rsidRPr="00B24FB8">
              <w:rPr>
                <w:rFonts w:ascii="Calibri" w:eastAsia="Times New Roman" w:hAnsi="Calibri" w:cs="Calibri"/>
                <w:color w:val="000000"/>
                <w:sz w:val="16"/>
                <w:szCs w:val="16"/>
                <w:lang w:val="en-US" w:eastAsia="it-IT"/>
              </w:rPr>
              <w:t>immunisation</w:t>
            </w:r>
            <w:proofErr w:type="spellEnd"/>
            <w:r w:rsidRPr="00B24FB8">
              <w:rPr>
                <w:rFonts w:ascii="Calibri" w:eastAsia="Times New Roman" w:hAnsi="Calibri" w:cs="Calibri"/>
                <w:color w:val="000000"/>
                <w:sz w:val="16"/>
                <w:szCs w:val="16"/>
                <w:lang w:val="en-US" w:eastAsia="it-IT"/>
              </w:rPr>
              <w:t xml:space="preserve"> decision-making at the local level and to guide policies and programmes for public health operations.</w:t>
            </w:r>
          </w:p>
        </w:tc>
        <w:tc>
          <w:tcPr>
            <w:tcW w:w="0" w:type="auto"/>
            <w:tcBorders>
              <w:top w:val="nil"/>
              <w:left w:val="nil"/>
              <w:bottom w:val="single" w:sz="4" w:space="0" w:color="auto"/>
              <w:right w:val="single" w:sz="4" w:space="0" w:color="auto"/>
            </w:tcBorders>
            <w:shd w:val="clear" w:color="auto" w:fill="auto"/>
            <w:hideMark/>
          </w:tcPr>
          <w:p w14:paraId="29147C99" w14:textId="77777777" w:rsidR="00B24FB8" w:rsidRPr="00B24FB8" w:rsidRDefault="00B24FB8" w:rsidP="00F94946">
            <w:pPr>
              <w:spacing w:after="10" w:line="240" w:lineRule="auto"/>
              <w:contextualSpacing/>
              <w:rPr>
                <w:rFonts w:ascii="Calibri" w:eastAsia="Times New Roman" w:hAnsi="Calibri" w:cs="Calibri"/>
                <w:color w:val="000000"/>
                <w:sz w:val="16"/>
                <w:szCs w:val="16"/>
                <w:lang w:val="en-US" w:eastAsia="it-IT"/>
              </w:rPr>
            </w:pPr>
            <w:r w:rsidRPr="00B24FB8">
              <w:rPr>
                <w:rFonts w:ascii="Calibri" w:eastAsia="Times New Roman" w:hAnsi="Calibri" w:cs="Calibri"/>
                <w:color w:val="000000"/>
                <w:sz w:val="16"/>
                <w:szCs w:val="16"/>
                <w:lang w:val="en-US" w:eastAsia="it-IT"/>
              </w:rPr>
              <w:t xml:space="preserve"> - The need for improving immunization data registration is emphasized by all participants.</w:t>
            </w:r>
            <w:r w:rsidRPr="00B24FB8">
              <w:rPr>
                <w:rFonts w:ascii="Calibri" w:eastAsia="Times New Roman" w:hAnsi="Calibri" w:cs="Calibri"/>
                <w:color w:val="000000"/>
                <w:sz w:val="16"/>
                <w:szCs w:val="16"/>
                <w:lang w:val="en-US" w:eastAsia="it-IT"/>
              </w:rPr>
              <w:br/>
              <w:t>- Moreover, there is a need for data collection, in order to evaluate relevant initiatives and promote best practices –advocate them to policy makers, and disseminate them to different actors.</w:t>
            </w:r>
            <w:r w:rsidRPr="00B24FB8">
              <w:rPr>
                <w:rFonts w:ascii="Calibri" w:eastAsia="Times New Roman" w:hAnsi="Calibri" w:cs="Calibri"/>
                <w:color w:val="000000"/>
                <w:sz w:val="16"/>
                <w:szCs w:val="16"/>
                <w:lang w:val="en-US" w:eastAsia="it-IT"/>
              </w:rPr>
              <w:br/>
              <w:t>- In Germany a collaboration seems to be in effect among different bodies in terms of monitoring vaccination status of NAMs, schedules as well as advocate and disseminate best practices.</w:t>
            </w:r>
          </w:p>
        </w:tc>
      </w:tr>
    </w:tbl>
    <w:p w14:paraId="25C7B528" w14:textId="1FD1F22F" w:rsidR="0080640D" w:rsidRDefault="0080640D" w:rsidP="00B24FB8">
      <w:pPr>
        <w:rPr>
          <w:lang w:val="en-US"/>
        </w:rPr>
      </w:pPr>
    </w:p>
    <w:p w14:paraId="5444C4F2" w14:textId="77777777" w:rsidR="0080640D" w:rsidRDefault="0080640D">
      <w:pPr>
        <w:rPr>
          <w:lang w:val="en-US"/>
        </w:rPr>
      </w:pPr>
      <w:r>
        <w:rPr>
          <w:lang w:val="en-US"/>
        </w:rPr>
        <w:br w:type="page"/>
      </w:r>
    </w:p>
    <w:p w14:paraId="73113838" w14:textId="77777777" w:rsidR="0080640D" w:rsidRDefault="0080640D" w:rsidP="0080640D">
      <w:pPr>
        <w:spacing w:after="120"/>
        <w:rPr>
          <w:b/>
        </w:rPr>
        <w:sectPr w:rsidR="0080640D" w:rsidSect="00B24FB8">
          <w:pgSz w:w="16838" w:h="11906" w:orient="landscape"/>
          <w:pgMar w:top="1134" w:right="1418" w:bottom="1134" w:left="1134" w:header="709" w:footer="709" w:gutter="0"/>
          <w:cols w:space="708"/>
          <w:docGrid w:linePitch="360"/>
        </w:sectPr>
      </w:pPr>
      <w:bookmarkStart w:id="17" w:name="_Hlk119074325"/>
    </w:p>
    <w:bookmarkEnd w:id="17"/>
    <w:p w14:paraId="7DD36797" w14:textId="77777777" w:rsidR="0080640D" w:rsidRDefault="0080640D" w:rsidP="008D28BB">
      <w:pPr>
        <w:spacing w:after="120"/>
        <w:rPr>
          <w:b/>
        </w:rPr>
      </w:pPr>
    </w:p>
    <w:sectPr w:rsidR="0080640D" w:rsidSect="0080640D">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972AB" w14:textId="77777777" w:rsidR="00AB54DF" w:rsidRDefault="00AB54DF" w:rsidP="00E4191E">
      <w:pPr>
        <w:spacing w:after="0" w:line="240" w:lineRule="auto"/>
      </w:pPr>
      <w:r>
        <w:separator/>
      </w:r>
    </w:p>
  </w:endnote>
  <w:endnote w:type="continuationSeparator" w:id="0">
    <w:p w14:paraId="62CC4DA7" w14:textId="77777777" w:rsidR="00AB54DF" w:rsidRDefault="00AB54DF" w:rsidP="00E4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bra-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310E8" w14:textId="77777777" w:rsidR="00AB54DF" w:rsidRDefault="00AB54DF" w:rsidP="00E4191E">
      <w:pPr>
        <w:spacing w:after="0" w:line="240" w:lineRule="auto"/>
      </w:pPr>
      <w:r>
        <w:separator/>
      </w:r>
    </w:p>
  </w:footnote>
  <w:footnote w:type="continuationSeparator" w:id="0">
    <w:p w14:paraId="776F47A1" w14:textId="77777777" w:rsidR="00AB54DF" w:rsidRDefault="00AB54DF" w:rsidP="00E41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01D"/>
    <w:multiLevelType w:val="multilevel"/>
    <w:tmpl w:val="AC467328"/>
    <w:lvl w:ilvl="0">
      <w:start w:val="1"/>
      <w:numFmt w:val="bullet"/>
      <w:lvlText w:val="o"/>
      <w:lvlJc w:val="left"/>
      <w:pPr>
        <w:ind w:left="720" w:hanging="360"/>
      </w:pPr>
      <w:rPr>
        <w:rFonts w:ascii="Courier New" w:eastAsia="Courier New" w:hAnsi="Courier New" w:cs="Courier New"/>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ED59CE"/>
    <w:multiLevelType w:val="multilevel"/>
    <w:tmpl w:val="E75A2190"/>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5706B5"/>
    <w:multiLevelType w:val="multilevel"/>
    <w:tmpl w:val="F34653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D0E44"/>
    <w:multiLevelType w:val="multilevel"/>
    <w:tmpl w:val="FEDC03B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A408CB"/>
    <w:multiLevelType w:val="multilevel"/>
    <w:tmpl w:val="FAC2A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D31E5D"/>
    <w:multiLevelType w:val="multilevel"/>
    <w:tmpl w:val="346C9D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A291289"/>
    <w:multiLevelType w:val="multilevel"/>
    <w:tmpl w:val="A2F4F9D8"/>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bullet"/>
      <w:lvlText w:val="-"/>
      <w:lvlJc w:val="left"/>
      <w:pPr>
        <w:ind w:left="1080" w:hanging="360"/>
      </w:pPr>
      <w:rPr>
        <w:rFonts w:ascii="Calibri" w:eastAsia="Calibri" w:hAnsi="Calibri" w:cs="Calibri"/>
        <w:color w:val="000000"/>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30346BD9"/>
    <w:multiLevelType w:val="multilevel"/>
    <w:tmpl w:val="7340E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1B111F"/>
    <w:multiLevelType w:val="multilevel"/>
    <w:tmpl w:val="01125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B01762"/>
    <w:multiLevelType w:val="multilevel"/>
    <w:tmpl w:val="6E16AB04"/>
    <w:lvl w:ilvl="0">
      <w:start w:val="3"/>
      <w:numFmt w:val="bullet"/>
      <w:lvlText w:val="-"/>
      <w:lvlJc w:val="left"/>
      <w:pPr>
        <w:ind w:left="720" w:hanging="360"/>
      </w:pPr>
      <w:rPr>
        <w:rFonts w:ascii="Calibri" w:eastAsia="Calibri" w:hAnsi="Calibri" w:cs="Calibr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292DF6"/>
    <w:multiLevelType w:val="multilevel"/>
    <w:tmpl w:val="D6AE83F0"/>
    <w:lvl w:ilvl="0">
      <w:start w:val="4"/>
      <w:numFmt w:val="bullet"/>
      <w:lvlText w:val="-"/>
      <w:lvlJc w:val="left"/>
      <w:pPr>
        <w:ind w:left="720" w:hanging="360"/>
      </w:pPr>
      <w:rPr>
        <w:rFonts w:ascii="Calibri" w:eastAsia="Calibri" w:hAnsi="Calibri" w:cs="Calibri"/>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E4028EE"/>
    <w:multiLevelType w:val="multilevel"/>
    <w:tmpl w:val="D54A0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79277D"/>
    <w:multiLevelType w:val="hybridMultilevel"/>
    <w:tmpl w:val="75B2A9C0"/>
    <w:lvl w:ilvl="0" w:tplc="6D0267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F81DD6"/>
    <w:multiLevelType w:val="multilevel"/>
    <w:tmpl w:val="863405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71B663C"/>
    <w:multiLevelType w:val="multilevel"/>
    <w:tmpl w:val="9CE0C8E0"/>
    <w:lvl w:ilvl="0">
      <w:start w:val="4"/>
      <w:numFmt w:val="bullet"/>
      <w:lvlText w:val="-"/>
      <w:lvlJc w:val="left"/>
      <w:pPr>
        <w:ind w:left="720" w:hanging="360"/>
      </w:pPr>
      <w:rPr>
        <w:rFonts w:ascii="Calibri" w:eastAsia="Calibri" w:hAnsi="Calibri" w:cs="Calibri"/>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28977A4"/>
    <w:multiLevelType w:val="multilevel"/>
    <w:tmpl w:val="5AC0D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EE15F7"/>
    <w:multiLevelType w:val="multilevel"/>
    <w:tmpl w:val="B2C00C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3063057"/>
    <w:multiLevelType w:val="multilevel"/>
    <w:tmpl w:val="46546B9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8" w15:restartNumberingAfterBreak="0">
    <w:nsid w:val="65437B4E"/>
    <w:multiLevelType w:val="multilevel"/>
    <w:tmpl w:val="60CCC70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B54B48"/>
    <w:multiLevelType w:val="multilevel"/>
    <w:tmpl w:val="A2F4DA6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10C293D"/>
    <w:multiLevelType w:val="multilevel"/>
    <w:tmpl w:val="91363D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8247CF"/>
    <w:multiLevelType w:val="multilevel"/>
    <w:tmpl w:val="4724A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CE172C"/>
    <w:multiLevelType w:val="multilevel"/>
    <w:tmpl w:val="3EF4A1F0"/>
    <w:lvl w:ilvl="0">
      <w:start w:val="4"/>
      <w:numFmt w:val="bullet"/>
      <w:lvlText w:val="-"/>
      <w:lvlJc w:val="left"/>
      <w:pPr>
        <w:ind w:left="720" w:hanging="360"/>
      </w:pPr>
      <w:rPr>
        <w:rFonts w:ascii="Calibri" w:eastAsia="Calibri" w:hAnsi="Calibri" w:cs="Calibri"/>
        <w:color w:val="000000"/>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4470FF9"/>
    <w:multiLevelType w:val="multilevel"/>
    <w:tmpl w:val="E7A65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E459D0"/>
    <w:multiLevelType w:val="multilevel"/>
    <w:tmpl w:val="7EC2699C"/>
    <w:lvl w:ilvl="0">
      <w:start w:val="1"/>
      <w:numFmt w:val="bullet"/>
      <w:lvlText w:val="o"/>
      <w:lvlJc w:val="left"/>
      <w:pPr>
        <w:ind w:left="1440" w:hanging="360"/>
      </w:pPr>
      <w:rPr>
        <w:rFonts w:ascii="Courier New" w:eastAsia="Courier New" w:hAnsi="Courier New" w:cs="Courier New"/>
        <w:sz w:val="24"/>
        <w:szCs w:val="24"/>
      </w:rPr>
    </w:lvl>
    <w:lvl w:ilvl="1">
      <w:start w:val="1"/>
      <w:numFmt w:val="bullet"/>
      <w:lvlText w:val="o"/>
      <w:lvlJc w:val="left"/>
      <w:pPr>
        <w:ind w:left="2160" w:hanging="360"/>
      </w:pPr>
      <w:rPr>
        <w:rFonts w:ascii="Courier New" w:eastAsia="Courier New" w:hAnsi="Courier New" w:cs="Courier New"/>
        <w:color w:val="000000"/>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7D0D24FC"/>
    <w:multiLevelType w:val="multilevel"/>
    <w:tmpl w:val="384A0286"/>
    <w:lvl w:ilvl="0">
      <w:start w:val="1"/>
      <w:numFmt w:val="decimal"/>
      <w:lvlText w:val="%1."/>
      <w:lvlJc w:val="left"/>
      <w:pPr>
        <w:ind w:left="720" w:hanging="360"/>
      </w:pPr>
      <w:rPr>
        <w:rFonts w:ascii="Calibri" w:eastAsia="Calibri" w:hAnsi="Calibri" w:cs="Calibri"/>
        <w:b/>
        <w:color w:val="2F5496"/>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50724">
    <w:abstractNumId w:val="6"/>
  </w:num>
  <w:num w:numId="2" w16cid:durableId="2070302234">
    <w:abstractNumId w:val="14"/>
  </w:num>
  <w:num w:numId="3" w16cid:durableId="2050835197">
    <w:abstractNumId w:val="10"/>
  </w:num>
  <w:num w:numId="4" w16cid:durableId="636492613">
    <w:abstractNumId w:val="22"/>
  </w:num>
  <w:num w:numId="5" w16cid:durableId="1044526181">
    <w:abstractNumId w:val="3"/>
  </w:num>
  <w:num w:numId="6" w16cid:durableId="1261334975">
    <w:abstractNumId w:val="21"/>
  </w:num>
  <w:num w:numId="7" w16cid:durableId="71440106">
    <w:abstractNumId w:val="2"/>
  </w:num>
  <w:num w:numId="8" w16cid:durableId="1108549716">
    <w:abstractNumId w:val="1"/>
  </w:num>
  <w:num w:numId="9" w16cid:durableId="484706433">
    <w:abstractNumId w:val="7"/>
  </w:num>
  <w:num w:numId="10" w16cid:durableId="1627194913">
    <w:abstractNumId w:val="24"/>
  </w:num>
  <w:num w:numId="11" w16cid:durableId="1237279220">
    <w:abstractNumId w:val="23"/>
  </w:num>
  <w:num w:numId="12" w16cid:durableId="373162502">
    <w:abstractNumId w:val="25"/>
  </w:num>
  <w:num w:numId="13" w16cid:durableId="1419403652">
    <w:abstractNumId w:val="4"/>
  </w:num>
  <w:num w:numId="14" w16cid:durableId="1296451499">
    <w:abstractNumId w:val="18"/>
  </w:num>
  <w:num w:numId="15" w16cid:durableId="740785778">
    <w:abstractNumId w:val="8"/>
  </w:num>
  <w:num w:numId="16" w16cid:durableId="612443384">
    <w:abstractNumId w:val="20"/>
  </w:num>
  <w:num w:numId="17" w16cid:durableId="1765763862">
    <w:abstractNumId w:val="17"/>
  </w:num>
  <w:num w:numId="18" w16cid:durableId="1863010279">
    <w:abstractNumId w:val="15"/>
  </w:num>
  <w:num w:numId="19" w16cid:durableId="457839410">
    <w:abstractNumId w:val="9"/>
  </w:num>
  <w:num w:numId="20" w16cid:durableId="389161297">
    <w:abstractNumId w:val="0"/>
  </w:num>
  <w:num w:numId="21" w16cid:durableId="1192959212">
    <w:abstractNumId w:val="13"/>
  </w:num>
  <w:num w:numId="22" w16cid:durableId="1188176214">
    <w:abstractNumId w:val="19"/>
  </w:num>
  <w:num w:numId="23" w16cid:durableId="452672231">
    <w:abstractNumId w:val="11"/>
  </w:num>
  <w:num w:numId="24" w16cid:durableId="1530336804">
    <w:abstractNumId w:val="12"/>
  </w:num>
  <w:num w:numId="25" w16cid:durableId="582103263">
    <w:abstractNumId w:val="16"/>
  </w:num>
  <w:num w:numId="26" w16cid:durableId="378094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A3"/>
    <w:rsid w:val="000B2F96"/>
    <w:rsid w:val="000F29FE"/>
    <w:rsid w:val="001A5ED6"/>
    <w:rsid w:val="00571DA3"/>
    <w:rsid w:val="00686978"/>
    <w:rsid w:val="0077181D"/>
    <w:rsid w:val="007F5CC6"/>
    <w:rsid w:val="0080640D"/>
    <w:rsid w:val="008D28BB"/>
    <w:rsid w:val="008E57CF"/>
    <w:rsid w:val="00971D99"/>
    <w:rsid w:val="00A24BEC"/>
    <w:rsid w:val="00A9273C"/>
    <w:rsid w:val="00AB54DF"/>
    <w:rsid w:val="00B22D8B"/>
    <w:rsid w:val="00B24FB8"/>
    <w:rsid w:val="00B3086F"/>
    <w:rsid w:val="00E4191E"/>
    <w:rsid w:val="00F949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5A76"/>
  <w15:chartTrackingRefBased/>
  <w15:docId w15:val="{2080C989-517F-4A8D-87E8-F55DB1BA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DA3"/>
    <w:rPr>
      <w:lang w:val="en-GB"/>
    </w:rPr>
  </w:style>
  <w:style w:type="paragraph" w:styleId="Heading1">
    <w:name w:val="heading 1"/>
    <w:basedOn w:val="Normal"/>
    <w:next w:val="Normal"/>
    <w:link w:val="Heading1Char"/>
    <w:uiPriority w:val="9"/>
    <w:qFormat/>
    <w:rsid w:val="00B308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1DA3"/>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80640D"/>
    <w:pPr>
      <w:keepNext/>
      <w:keepLines/>
      <w:spacing w:before="40" w:after="0" w:line="240" w:lineRule="auto"/>
      <w:jc w:val="both"/>
      <w:outlineLvl w:val="2"/>
    </w:pPr>
    <w:rPr>
      <w:rFonts w:ascii="Times New Roman" w:eastAsiaTheme="majorEastAsia" w:hAnsi="Times New Roman" w:cstheme="majorBidi"/>
      <w:b/>
      <w:color w:val="0D0D0D" w:themeColor="text1" w:themeTint="F2"/>
      <w:sz w:val="24"/>
      <w:szCs w:val="24"/>
      <w:lang w:eastAsia="it-IT"/>
    </w:rPr>
  </w:style>
  <w:style w:type="paragraph" w:styleId="Heading4">
    <w:name w:val="heading 4"/>
    <w:basedOn w:val="Normal"/>
    <w:next w:val="Normal"/>
    <w:link w:val="Heading4Char"/>
    <w:uiPriority w:val="9"/>
    <w:unhideWhenUsed/>
    <w:qFormat/>
    <w:rsid w:val="0080640D"/>
    <w:pPr>
      <w:keepNext/>
      <w:keepLines/>
      <w:spacing w:before="40" w:after="0" w:line="240" w:lineRule="auto"/>
      <w:jc w:val="both"/>
      <w:outlineLvl w:val="3"/>
    </w:pPr>
    <w:rPr>
      <w:rFonts w:ascii="Times New Roman" w:eastAsiaTheme="majorEastAsia" w:hAnsi="Times New Roman" w:cstheme="majorBidi"/>
      <w:i/>
      <w:iCs/>
      <w:sz w:val="24"/>
      <w:szCs w:val="24"/>
      <w:lang w:eastAsia="it-IT"/>
    </w:rPr>
  </w:style>
  <w:style w:type="paragraph" w:styleId="Heading5">
    <w:name w:val="heading 5"/>
    <w:basedOn w:val="Normal"/>
    <w:next w:val="Normal"/>
    <w:link w:val="Heading5Char"/>
    <w:uiPriority w:val="9"/>
    <w:semiHidden/>
    <w:unhideWhenUsed/>
    <w:qFormat/>
    <w:rsid w:val="0080640D"/>
    <w:pPr>
      <w:keepNext/>
      <w:keepLines/>
      <w:spacing w:before="220" w:after="40" w:line="240" w:lineRule="auto"/>
      <w:jc w:val="both"/>
      <w:outlineLvl w:val="4"/>
    </w:pPr>
    <w:rPr>
      <w:rFonts w:ascii="Times New Roman" w:eastAsia="Times New Roman" w:hAnsi="Times New Roman" w:cs="Times New Roman"/>
      <w:b/>
      <w:lang w:eastAsia="it-IT"/>
    </w:rPr>
  </w:style>
  <w:style w:type="paragraph" w:styleId="Heading6">
    <w:name w:val="heading 6"/>
    <w:basedOn w:val="Normal"/>
    <w:next w:val="Normal"/>
    <w:link w:val="Heading6Char"/>
    <w:uiPriority w:val="9"/>
    <w:semiHidden/>
    <w:unhideWhenUsed/>
    <w:qFormat/>
    <w:rsid w:val="0080640D"/>
    <w:pPr>
      <w:keepNext/>
      <w:keepLines/>
      <w:spacing w:before="200" w:after="40" w:line="240" w:lineRule="auto"/>
      <w:jc w:val="both"/>
      <w:outlineLvl w:val="5"/>
    </w:pPr>
    <w:rPr>
      <w:rFonts w:ascii="Times New Roman" w:eastAsia="Times New Roman" w:hAnsi="Times New Roman" w:cs="Times New Roman"/>
      <w:b/>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1DA3"/>
    <w:rPr>
      <w:rFonts w:ascii="Arial" w:eastAsiaTheme="majorEastAsia" w:hAnsi="Arial" w:cstheme="majorBidi"/>
      <w:b/>
      <w:sz w:val="24"/>
      <w:szCs w:val="26"/>
      <w:lang w:val="en-GB"/>
    </w:rPr>
  </w:style>
  <w:style w:type="paragraph" w:styleId="Caption">
    <w:name w:val="caption"/>
    <w:basedOn w:val="Normal"/>
    <w:next w:val="Normal"/>
    <w:uiPriority w:val="35"/>
    <w:unhideWhenUsed/>
    <w:qFormat/>
    <w:rsid w:val="00571DA3"/>
    <w:pPr>
      <w:spacing w:after="200" w:line="240" w:lineRule="auto"/>
    </w:pPr>
    <w:rPr>
      <w:rFonts w:ascii="Arial" w:eastAsia="Arial" w:hAnsi="Arial" w:cs="Arial"/>
      <w:i/>
      <w:iCs/>
      <w:color w:val="44546A" w:themeColor="text2"/>
      <w:sz w:val="18"/>
      <w:szCs w:val="18"/>
      <w:lang w:eastAsia="it-IT"/>
    </w:rPr>
  </w:style>
  <w:style w:type="character" w:customStyle="1" w:styleId="Heading1Char">
    <w:name w:val="Heading 1 Char"/>
    <w:basedOn w:val="DefaultParagraphFont"/>
    <w:link w:val="Heading1"/>
    <w:uiPriority w:val="9"/>
    <w:rsid w:val="00B3086F"/>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1A5ED6"/>
    <w:pPr>
      <w:spacing w:before="100" w:beforeAutospacing="1" w:after="100" w:afterAutospacing="1" w:line="240" w:lineRule="auto"/>
      <w:jc w:val="both"/>
    </w:pPr>
    <w:rPr>
      <w:rFonts w:ascii="Times New Roman" w:eastAsia="Times New Roman" w:hAnsi="Times New Roman" w:cs="Times New Roman"/>
      <w:sz w:val="24"/>
      <w:szCs w:val="24"/>
      <w:lang w:val="it-IT" w:eastAsia="it-IT"/>
    </w:rPr>
  </w:style>
  <w:style w:type="character" w:customStyle="1" w:styleId="Heading3Char">
    <w:name w:val="Heading 3 Char"/>
    <w:basedOn w:val="DefaultParagraphFont"/>
    <w:link w:val="Heading3"/>
    <w:uiPriority w:val="9"/>
    <w:rsid w:val="0080640D"/>
    <w:rPr>
      <w:rFonts w:ascii="Times New Roman" w:eastAsiaTheme="majorEastAsia" w:hAnsi="Times New Roman" w:cstheme="majorBidi"/>
      <w:b/>
      <w:color w:val="0D0D0D" w:themeColor="text1" w:themeTint="F2"/>
      <w:sz w:val="24"/>
      <w:szCs w:val="24"/>
      <w:lang w:val="en-GB" w:eastAsia="it-IT"/>
    </w:rPr>
  </w:style>
  <w:style w:type="character" w:customStyle="1" w:styleId="Heading4Char">
    <w:name w:val="Heading 4 Char"/>
    <w:basedOn w:val="DefaultParagraphFont"/>
    <w:link w:val="Heading4"/>
    <w:uiPriority w:val="9"/>
    <w:rsid w:val="0080640D"/>
    <w:rPr>
      <w:rFonts w:ascii="Times New Roman" w:eastAsiaTheme="majorEastAsia" w:hAnsi="Times New Roman" w:cstheme="majorBidi"/>
      <w:i/>
      <w:iCs/>
      <w:sz w:val="24"/>
      <w:szCs w:val="24"/>
      <w:lang w:val="en-GB" w:eastAsia="it-IT"/>
    </w:rPr>
  </w:style>
  <w:style w:type="character" w:customStyle="1" w:styleId="Heading5Char">
    <w:name w:val="Heading 5 Char"/>
    <w:basedOn w:val="DefaultParagraphFont"/>
    <w:link w:val="Heading5"/>
    <w:uiPriority w:val="9"/>
    <w:semiHidden/>
    <w:rsid w:val="0080640D"/>
    <w:rPr>
      <w:rFonts w:ascii="Times New Roman" w:eastAsia="Times New Roman" w:hAnsi="Times New Roman" w:cs="Times New Roman"/>
      <w:b/>
      <w:lang w:val="en-GB" w:eastAsia="it-IT"/>
    </w:rPr>
  </w:style>
  <w:style w:type="character" w:customStyle="1" w:styleId="Heading6Char">
    <w:name w:val="Heading 6 Char"/>
    <w:basedOn w:val="DefaultParagraphFont"/>
    <w:link w:val="Heading6"/>
    <w:uiPriority w:val="9"/>
    <w:semiHidden/>
    <w:rsid w:val="0080640D"/>
    <w:rPr>
      <w:rFonts w:ascii="Times New Roman" w:eastAsia="Times New Roman" w:hAnsi="Times New Roman" w:cs="Times New Roman"/>
      <w:b/>
      <w:sz w:val="20"/>
      <w:szCs w:val="20"/>
      <w:lang w:val="en-GB" w:eastAsia="it-IT"/>
    </w:rPr>
  </w:style>
  <w:style w:type="table" w:customStyle="1" w:styleId="TableNormal1">
    <w:name w:val="Table Normal1"/>
    <w:rsid w:val="0080640D"/>
    <w:pPr>
      <w:spacing w:line="240" w:lineRule="auto"/>
      <w:jc w:val="both"/>
    </w:pPr>
    <w:rPr>
      <w:rFonts w:ascii="Times New Roman" w:eastAsia="Times New Roman" w:hAnsi="Times New Roman" w:cs="Times New Roman"/>
      <w:sz w:val="24"/>
      <w:szCs w:val="24"/>
      <w:lang w:val="en-US" w:eastAsia="it-IT"/>
    </w:rPr>
    <w:tblPr>
      <w:tblCellMar>
        <w:top w:w="0" w:type="dxa"/>
        <w:left w:w="0" w:type="dxa"/>
        <w:bottom w:w="0" w:type="dxa"/>
        <w:right w:w="0" w:type="dxa"/>
      </w:tblCellMar>
    </w:tblPr>
  </w:style>
  <w:style w:type="paragraph" w:styleId="Title">
    <w:name w:val="Title"/>
    <w:basedOn w:val="Normal"/>
    <w:next w:val="Normal"/>
    <w:link w:val="TitleChar"/>
    <w:uiPriority w:val="10"/>
    <w:qFormat/>
    <w:rsid w:val="0080640D"/>
    <w:pPr>
      <w:keepNext/>
      <w:keepLines/>
      <w:spacing w:before="480" w:after="120" w:line="240" w:lineRule="auto"/>
      <w:jc w:val="both"/>
    </w:pPr>
    <w:rPr>
      <w:rFonts w:ascii="Times New Roman" w:eastAsia="Times New Roman" w:hAnsi="Times New Roman" w:cs="Times New Roman"/>
      <w:b/>
      <w:sz w:val="72"/>
      <w:szCs w:val="72"/>
      <w:lang w:eastAsia="it-IT"/>
    </w:rPr>
  </w:style>
  <w:style w:type="character" w:customStyle="1" w:styleId="TitleChar">
    <w:name w:val="Title Char"/>
    <w:basedOn w:val="DefaultParagraphFont"/>
    <w:link w:val="Title"/>
    <w:uiPriority w:val="10"/>
    <w:rsid w:val="0080640D"/>
    <w:rPr>
      <w:rFonts w:ascii="Times New Roman" w:eastAsia="Times New Roman" w:hAnsi="Times New Roman" w:cs="Times New Roman"/>
      <w:b/>
      <w:sz w:val="72"/>
      <w:szCs w:val="72"/>
      <w:lang w:val="en-GB" w:eastAsia="it-IT"/>
    </w:rPr>
  </w:style>
  <w:style w:type="paragraph" w:styleId="NoSpacing">
    <w:name w:val="No Spacing"/>
    <w:uiPriority w:val="1"/>
    <w:qFormat/>
    <w:rsid w:val="0080640D"/>
    <w:pPr>
      <w:spacing w:after="0" w:line="240" w:lineRule="auto"/>
      <w:jc w:val="both"/>
    </w:pPr>
    <w:rPr>
      <w:rFonts w:ascii="Times New Roman" w:eastAsia="Times New Roman" w:hAnsi="Times New Roman" w:cs="Times New Roman"/>
      <w:sz w:val="24"/>
      <w:szCs w:val="24"/>
      <w:lang w:val="en-GB" w:eastAsia="it-IT"/>
    </w:rPr>
  </w:style>
  <w:style w:type="character" w:styleId="Hyperlink">
    <w:name w:val="Hyperlink"/>
    <w:basedOn w:val="DefaultParagraphFont"/>
    <w:uiPriority w:val="99"/>
    <w:semiHidden/>
    <w:unhideWhenUsed/>
    <w:rsid w:val="0080640D"/>
    <w:rPr>
      <w:color w:val="0000FF"/>
      <w:u w:val="single"/>
    </w:rPr>
  </w:style>
  <w:style w:type="paragraph" w:styleId="ListParagraph">
    <w:name w:val="List Paragraph"/>
    <w:basedOn w:val="Normal"/>
    <w:uiPriority w:val="34"/>
    <w:qFormat/>
    <w:rsid w:val="0080640D"/>
    <w:pPr>
      <w:spacing w:line="240" w:lineRule="auto"/>
      <w:ind w:left="720"/>
      <w:contextualSpacing/>
      <w:jc w:val="both"/>
    </w:pPr>
    <w:rPr>
      <w:rFonts w:ascii="Times New Roman" w:eastAsia="Times New Roman" w:hAnsi="Times New Roman" w:cs="Times New Roman"/>
      <w:sz w:val="24"/>
      <w:szCs w:val="24"/>
      <w:lang w:eastAsia="it-IT"/>
    </w:rPr>
  </w:style>
  <w:style w:type="paragraph" w:styleId="Header">
    <w:name w:val="header"/>
    <w:basedOn w:val="Normal"/>
    <w:link w:val="HeaderChar"/>
    <w:uiPriority w:val="99"/>
    <w:unhideWhenUsed/>
    <w:rsid w:val="0080640D"/>
    <w:pPr>
      <w:tabs>
        <w:tab w:val="center" w:pos="4819"/>
        <w:tab w:val="right" w:pos="9638"/>
      </w:tabs>
      <w:spacing w:after="0" w:line="240" w:lineRule="auto"/>
      <w:jc w:val="both"/>
    </w:pPr>
    <w:rPr>
      <w:rFonts w:ascii="Times New Roman" w:eastAsia="Times New Roman" w:hAnsi="Times New Roman" w:cs="Times New Roman"/>
      <w:sz w:val="24"/>
      <w:szCs w:val="24"/>
      <w:lang w:eastAsia="it-IT"/>
    </w:rPr>
  </w:style>
  <w:style w:type="character" w:customStyle="1" w:styleId="HeaderChar">
    <w:name w:val="Header Char"/>
    <w:basedOn w:val="DefaultParagraphFont"/>
    <w:link w:val="Header"/>
    <w:uiPriority w:val="99"/>
    <w:rsid w:val="0080640D"/>
    <w:rPr>
      <w:rFonts w:ascii="Times New Roman" w:eastAsia="Times New Roman" w:hAnsi="Times New Roman" w:cs="Times New Roman"/>
      <w:sz w:val="24"/>
      <w:szCs w:val="24"/>
      <w:lang w:val="en-GB" w:eastAsia="it-IT"/>
    </w:rPr>
  </w:style>
  <w:style w:type="table" w:customStyle="1" w:styleId="Tabellagriglia1chiara11">
    <w:name w:val="Tabella griglia 1 chiara11"/>
    <w:basedOn w:val="TableNormal"/>
    <w:uiPriority w:val="46"/>
    <w:rsid w:val="0080640D"/>
    <w:pPr>
      <w:spacing w:after="0" w:line="240" w:lineRule="auto"/>
      <w:jc w:val="both"/>
    </w:pPr>
    <w:rPr>
      <w:rFonts w:ascii="Times New Roman" w:eastAsia="Times New Roman" w:hAnsi="Times New Roman" w:cs="Times New Roman"/>
      <w:sz w:val="24"/>
      <w:szCs w:val="24"/>
      <w:lang w:val="el-GR" w:eastAsia="it-I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0640D"/>
    <w:rPr>
      <w:color w:val="954F72" w:themeColor="followedHyperlink"/>
      <w:u w:val="single"/>
    </w:rPr>
  </w:style>
  <w:style w:type="character" w:customStyle="1" w:styleId="fontstyle01">
    <w:name w:val="fontstyle01"/>
    <w:basedOn w:val="DefaultParagraphFont"/>
    <w:rsid w:val="0080640D"/>
    <w:rPr>
      <w:rFonts w:ascii="Fibra-Light" w:hAnsi="Fibra-Ligh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80640D"/>
    <w:rPr>
      <w:sz w:val="16"/>
      <w:szCs w:val="16"/>
    </w:rPr>
  </w:style>
  <w:style w:type="paragraph" w:styleId="CommentText">
    <w:name w:val="annotation text"/>
    <w:basedOn w:val="Normal"/>
    <w:link w:val="CommentTextChar"/>
    <w:uiPriority w:val="99"/>
    <w:unhideWhenUsed/>
    <w:rsid w:val="0080640D"/>
    <w:pPr>
      <w:spacing w:line="240" w:lineRule="auto"/>
      <w:jc w:val="both"/>
    </w:pPr>
    <w:rPr>
      <w:rFonts w:ascii="Times New Roman" w:eastAsia="Times New Roman" w:hAnsi="Times New Roman" w:cs="Times New Roman"/>
      <w:sz w:val="20"/>
      <w:szCs w:val="20"/>
      <w:lang w:eastAsia="it-IT"/>
    </w:rPr>
  </w:style>
  <w:style w:type="character" w:customStyle="1" w:styleId="CommentTextChar">
    <w:name w:val="Comment Text Char"/>
    <w:basedOn w:val="DefaultParagraphFont"/>
    <w:link w:val="CommentText"/>
    <w:uiPriority w:val="99"/>
    <w:rsid w:val="0080640D"/>
    <w:rPr>
      <w:rFonts w:ascii="Times New Roman" w:eastAsia="Times New Roman" w:hAnsi="Times New Roman" w:cs="Times New Roman"/>
      <w:sz w:val="20"/>
      <w:szCs w:val="20"/>
      <w:lang w:val="en-GB" w:eastAsia="it-IT"/>
    </w:rPr>
  </w:style>
  <w:style w:type="paragraph" w:styleId="CommentSubject">
    <w:name w:val="annotation subject"/>
    <w:basedOn w:val="CommentText"/>
    <w:next w:val="CommentText"/>
    <w:link w:val="CommentSubjectChar"/>
    <w:uiPriority w:val="99"/>
    <w:semiHidden/>
    <w:unhideWhenUsed/>
    <w:rsid w:val="0080640D"/>
    <w:rPr>
      <w:b/>
      <w:bCs/>
    </w:rPr>
  </w:style>
  <w:style w:type="character" w:customStyle="1" w:styleId="CommentSubjectChar">
    <w:name w:val="Comment Subject Char"/>
    <w:basedOn w:val="CommentTextChar"/>
    <w:link w:val="CommentSubject"/>
    <w:uiPriority w:val="99"/>
    <w:semiHidden/>
    <w:rsid w:val="0080640D"/>
    <w:rPr>
      <w:rFonts w:ascii="Times New Roman" w:eastAsia="Times New Roman" w:hAnsi="Times New Roman" w:cs="Times New Roman"/>
      <w:b/>
      <w:bCs/>
      <w:sz w:val="20"/>
      <w:szCs w:val="20"/>
      <w:lang w:val="en-GB" w:eastAsia="it-IT"/>
    </w:rPr>
  </w:style>
  <w:style w:type="paragraph" w:customStyle="1" w:styleId="msonormal0">
    <w:name w:val="msonormal"/>
    <w:basedOn w:val="Normal"/>
    <w:rsid w:val="0080640D"/>
    <w:pPr>
      <w:spacing w:before="100" w:beforeAutospacing="1" w:after="100" w:afterAutospacing="1" w:line="240" w:lineRule="auto"/>
      <w:jc w:val="both"/>
    </w:pPr>
    <w:rPr>
      <w:rFonts w:ascii="Times New Roman" w:eastAsia="Times New Roman" w:hAnsi="Times New Roman" w:cs="Times New Roman"/>
      <w:sz w:val="24"/>
      <w:szCs w:val="24"/>
      <w:lang w:val="it-IT" w:eastAsia="it-IT"/>
    </w:rPr>
  </w:style>
  <w:style w:type="paragraph" w:customStyle="1" w:styleId="xl65">
    <w:name w:val="xl65"/>
    <w:basedOn w:val="Normal"/>
    <w:rsid w:val="00806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66">
    <w:name w:val="xl66"/>
    <w:basedOn w:val="Normal"/>
    <w:rsid w:val="00806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val="it-IT" w:eastAsia="it-IT"/>
    </w:rPr>
  </w:style>
  <w:style w:type="paragraph" w:customStyle="1" w:styleId="xl67">
    <w:name w:val="xl67"/>
    <w:basedOn w:val="Normal"/>
    <w:rsid w:val="00806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it-IT" w:eastAsia="it-IT"/>
    </w:rPr>
  </w:style>
  <w:style w:type="paragraph" w:customStyle="1" w:styleId="xl68">
    <w:name w:val="xl68"/>
    <w:basedOn w:val="Normal"/>
    <w:rsid w:val="0080640D"/>
    <w:pPr>
      <w:spacing w:before="100" w:beforeAutospacing="1" w:after="100" w:afterAutospacing="1" w:line="240" w:lineRule="auto"/>
      <w:jc w:val="both"/>
    </w:pPr>
    <w:rPr>
      <w:rFonts w:ascii="Times New Roman" w:eastAsia="Times New Roman" w:hAnsi="Times New Roman" w:cs="Times New Roman"/>
      <w:sz w:val="24"/>
      <w:szCs w:val="24"/>
      <w:lang w:val="it-IT" w:eastAsia="it-IT"/>
    </w:rPr>
  </w:style>
  <w:style w:type="paragraph" w:customStyle="1" w:styleId="xl69">
    <w:name w:val="xl69"/>
    <w:basedOn w:val="Normal"/>
    <w:rsid w:val="00806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70">
    <w:name w:val="xl70"/>
    <w:basedOn w:val="Normal"/>
    <w:rsid w:val="00806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71">
    <w:name w:val="xl71"/>
    <w:basedOn w:val="Normal"/>
    <w:rsid w:val="00806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72">
    <w:name w:val="xl72"/>
    <w:basedOn w:val="Normal"/>
    <w:rsid w:val="00806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it-IT" w:eastAsia="it-IT"/>
    </w:rPr>
  </w:style>
  <w:style w:type="paragraph" w:customStyle="1" w:styleId="xl73">
    <w:name w:val="xl73"/>
    <w:basedOn w:val="Normal"/>
    <w:rsid w:val="00806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it-IT" w:eastAsia="it-IT"/>
    </w:rPr>
  </w:style>
  <w:style w:type="paragraph" w:customStyle="1" w:styleId="xl74">
    <w:name w:val="xl74"/>
    <w:basedOn w:val="Normal"/>
    <w:rsid w:val="00806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75">
    <w:name w:val="xl75"/>
    <w:basedOn w:val="Normal"/>
    <w:rsid w:val="008064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76">
    <w:name w:val="xl76"/>
    <w:basedOn w:val="Normal"/>
    <w:rsid w:val="008064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77">
    <w:name w:val="xl77"/>
    <w:basedOn w:val="Normal"/>
    <w:rsid w:val="0080640D"/>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78">
    <w:name w:val="xl78"/>
    <w:basedOn w:val="Normal"/>
    <w:rsid w:val="0080640D"/>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79">
    <w:name w:val="xl79"/>
    <w:basedOn w:val="Normal"/>
    <w:rsid w:val="0080640D"/>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t-IT" w:eastAsia="it-IT"/>
    </w:rPr>
  </w:style>
  <w:style w:type="paragraph" w:customStyle="1" w:styleId="xl80">
    <w:name w:val="xl80"/>
    <w:basedOn w:val="Normal"/>
    <w:rsid w:val="0080640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it-IT" w:eastAsia="it-IT"/>
    </w:rPr>
  </w:style>
  <w:style w:type="paragraph" w:customStyle="1" w:styleId="xl81">
    <w:name w:val="xl81"/>
    <w:basedOn w:val="Normal"/>
    <w:rsid w:val="0080640D"/>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it-IT" w:eastAsia="it-IT"/>
    </w:rPr>
  </w:style>
  <w:style w:type="paragraph" w:customStyle="1" w:styleId="xl82">
    <w:name w:val="xl82"/>
    <w:basedOn w:val="Normal"/>
    <w:rsid w:val="0080640D"/>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it-IT" w:eastAsia="it-IT"/>
    </w:rPr>
  </w:style>
  <w:style w:type="paragraph" w:customStyle="1" w:styleId="xl83">
    <w:name w:val="xl83"/>
    <w:basedOn w:val="Normal"/>
    <w:rsid w:val="0080640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val="it-IT" w:eastAsia="it-IT"/>
    </w:rPr>
  </w:style>
  <w:style w:type="paragraph" w:customStyle="1" w:styleId="xl84">
    <w:name w:val="xl84"/>
    <w:basedOn w:val="Normal"/>
    <w:rsid w:val="0080640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val="it-IT" w:eastAsia="it-IT"/>
    </w:rPr>
  </w:style>
  <w:style w:type="paragraph" w:customStyle="1" w:styleId="xl85">
    <w:name w:val="xl85"/>
    <w:basedOn w:val="Normal"/>
    <w:rsid w:val="0080640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val="it-IT" w:eastAsia="it-IT"/>
    </w:rPr>
  </w:style>
  <w:style w:type="paragraph" w:customStyle="1" w:styleId="xl86">
    <w:name w:val="xl86"/>
    <w:basedOn w:val="Normal"/>
    <w:rsid w:val="0080640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lang w:val="it-IT" w:eastAsia="it-IT"/>
    </w:rPr>
  </w:style>
  <w:style w:type="paragraph" w:customStyle="1" w:styleId="xl87">
    <w:name w:val="xl87"/>
    <w:basedOn w:val="Normal"/>
    <w:rsid w:val="0080640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val="it-IT" w:eastAsia="it-IT"/>
    </w:rPr>
  </w:style>
  <w:style w:type="paragraph" w:customStyle="1" w:styleId="xl88">
    <w:name w:val="xl88"/>
    <w:basedOn w:val="Normal"/>
    <w:rsid w:val="0080640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val="it-IT" w:eastAsia="it-IT"/>
    </w:rPr>
  </w:style>
  <w:style w:type="paragraph" w:customStyle="1" w:styleId="xl89">
    <w:name w:val="xl89"/>
    <w:basedOn w:val="Normal"/>
    <w:rsid w:val="0080640D"/>
    <w:pPr>
      <w:pBdr>
        <w:top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val="it-IT" w:eastAsia="it-IT"/>
    </w:rPr>
  </w:style>
  <w:style w:type="paragraph" w:styleId="Revision">
    <w:name w:val="Revision"/>
    <w:hidden/>
    <w:uiPriority w:val="99"/>
    <w:semiHidden/>
    <w:rsid w:val="0080640D"/>
    <w:pPr>
      <w:spacing w:after="0" w:line="240" w:lineRule="auto"/>
      <w:jc w:val="both"/>
    </w:pPr>
    <w:rPr>
      <w:rFonts w:ascii="Times New Roman" w:eastAsia="Times New Roman" w:hAnsi="Times New Roman" w:cs="Times New Roman"/>
      <w:sz w:val="24"/>
      <w:szCs w:val="24"/>
      <w:lang w:val="en-GB" w:eastAsia="it-IT"/>
    </w:rPr>
  </w:style>
  <w:style w:type="character" w:styleId="LineNumber">
    <w:name w:val="line number"/>
    <w:basedOn w:val="DefaultParagraphFont"/>
    <w:uiPriority w:val="99"/>
    <w:semiHidden/>
    <w:unhideWhenUsed/>
    <w:rsid w:val="0080640D"/>
  </w:style>
  <w:style w:type="paragraph" w:styleId="BalloonText">
    <w:name w:val="Balloon Text"/>
    <w:basedOn w:val="Normal"/>
    <w:link w:val="BalloonTextChar"/>
    <w:uiPriority w:val="99"/>
    <w:semiHidden/>
    <w:unhideWhenUsed/>
    <w:rsid w:val="0080640D"/>
    <w:pPr>
      <w:spacing w:after="0" w:line="240" w:lineRule="auto"/>
      <w:jc w:val="both"/>
    </w:pPr>
    <w:rPr>
      <w:rFonts w:ascii="Segoe UI" w:eastAsia="Times New Roman" w:hAnsi="Segoe UI" w:cs="Segoe UI"/>
      <w:sz w:val="18"/>
      <w:szCs w:val="18"/>
      <w:lang w:eastAsia="it-IT"/>
    </w:rPr>
  </w:style>
  <w:style w:type="character" w:customStyle="1" w:styleId="BalloonTextChar">
    <w:name w:val="Balloon Text Char"/>
    <w:basedOn w:val="DefaultParagraphFont"/>
    <w:link w:val="BalloonText"/>
    <w:uiPriority w:val="99"/>
    <w:semiHidden/>
    <w:rsid w:val="0080640D"/>
    <w:rPr>
      <w:rFonts w:ascii="Segoe UI" w:eastAsia="Times New Roman" w:hAnsi="Segoe UI" w:cs="Segoe UI"/>
      <w:sz w:val="18"/>
      <w:szCs w:val="18"/>
      <w:lang w:val="en-GB" w:eastAsia="it-IT"/>
    </w:rPr>
  </w:style>
  <w:style w:type="character" w:customStyle="1" w:styleId="cf01">
    <w:name w:val="cf01"/>
    <w:basedOn w:val="DefaultParagraphFont"/>
    <w:rsid w:val="0080640D"/>
    <w:rPr>
      <w:rFonts w:ascii="Segoe UI" w:hAnsi="Segoe UI" w:cs="Segoe UI" w:hint="default"/>
      <w:sz w:val="18"/>
      <w:szCs w:val="18"/>
    </w:rPr>
  </w:style>
  <w:style w:type="paragraph" w:styleId="Subtitle">
    <w:name w:val="Subtitle"/>
    <w:basedOn w:val="Normal"/>
    <w:next w:val="Normal"/>
    <w:link w:val="SubtitleChar"/>
    <w:uiPriority w:val="11"/>
    <w:qFormat/>
    <w:rsid w:val="0080640D"/>
    <w:pPr>
      <w:keepNext/>
      <w:keepLines/>
      <w:spacing w:before="360" w:after="80" w:line="240" w:lineRule="auto"/>
      <w:jc w:val="both"/>
    </w:pPr>
    <w:rPr>
      <w:rFonts w:ascii="Georgia" w:eastAsia="Georgia" w:hAnsi="Georgia" w:cs="Georgia"/>
      <w:i/>
      <w:color w:val="666666"/>
      <w:sz w:val="48"/>
      <w:szCs w:val="48"/>
      <w:lang w:eastAsia="it-IT"/>
    </w:rPr>
  </w:style>
  <w:style w:type="character" w:customStyle="1" w:styleId="SubtitleChar">
    <w:name w:val="Subtitle Char"/>
    <w:basedOn w:val="DefaultParagraphFont"/>
    <w:link w:val="Subtitle"/>
    <w:uiPriority w:val="11"/>
    <w:rsid w:val="0080640D"/>
    <w:rPr>
      <w:rFonts w:ascii="Georgia" w:eastAsia="Georgia" w:hAnsi="Georgia" w:cs="Georgia"/>
      <w:i/>
      <w:color w:val="666666"/>
      <w:sz w:val="48"/>
      <w:szCs w:val="48"/>
      <w:lang w:val="en-GB" w:eastAsia="it-IT"/>
    </w:rPr>
  </w:style>
  <w:style w:type="paragraph" w:styleId="Footer">
    <w:name w:val="footer"/>
    <w:basedOn w:val="Normal"/>
    <w:link w:val="FooterChar"/>
    <w:uiPriority w:val="99"/>
    <w:unhideWhenUsed/>
    <w:rsid w:val="00E419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191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8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eformigrants.eu/" TargetMode="External"/><Relationship Id="rId3" Type="http://schemas.openxmlformats.org/officeDocument/2006/relationships/settings" Target="settings.xml"/><Relationship Id="rId7" Type="http://schemas.openxmlformats.org/officeDocument/2006/relationships/hyperlink" Target="http://www.promovax.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ealthonthemove.net/it/" TargetMode="External"/><Relationship Id="rId4" Type="http://schemas.openxmlformats.org/officeDocument/2006/relationships/webSettings" Target="webSettings.xml"/><Relationship Id="rId9" Type="http://schemas.openxmlformats.org/officeDocument/2006/relationships/hyperlink" Target="https://www.mighealthcar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27236</Words>
  <Characters>155246</Characters>
  <Application>Microsoft Office Word</Application>
  <DocSecurity>0</DocSecurity>
  <Lines>1293</Lines>
  <Paragraphs>364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SCARSO</dc:creator>
  <cp:keywords/>
  <dc:description/>
  <cp:lastModifiedBy>Salvatore Scarso</cp:lastModifiedBy>
  <cp:revision>5</cp:revision>
  <dcterms:created xsi:type="dcterms:W3CDTF">2022-08-27T16:16:00Z</dcterms:created>
  <dcterms:modified xsi:type="dcterms:W3CDTF">2023-07-13T21:06:00Z</dcterms:modified>
</cp:coreProperties>
</file>